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B7" w:rsidRDefault="00B56266">
      <w:pPr>
        <w:rPr>
          <w:b/>
        </w:rPr>
      </w:pPr>
      <w:r>
        <w:rPr>
          <w:b/>
        </w:rPr>
        <w:t>Urgency Committee</w:t>
      </w:r>
    </w:p>
    <w:p w:rsidR="001D2BB7" w:rsidRDefault="001D2BB7">
      <w:pPr>
        <w:rPr>
          <w:b/>
        </w:rPr>
      </w:pPr>
      <w:r>
        <w:rPr>
          <w:b/>
        </w:rPr>
        <w:t xml:space="preserve">Meeting to be held on </w:t>
      </w:r>
      <w:r w:rsidR="00787602">
        <w:rPr>
          <w:b/>
        </w:rPr>
        <w:t>28</w:t>
      </w:r>
      <w:r w:rsidR="00B56266">
        <w:rPr>
          <w:b/>
        </w:rPr>
        <w:t xml:space="preserve"> March</w:t>
      </w:r>
      <w:r w:rsidR="00787602">
        <w:rPr>
          <w:b/>
        </w:rPr>
        <w:t xml:space="preserve"> 2013</w:t>
      </w:r>
      <w:r w:rsidR="00F10DB1">
        <w:rPr>
          <w:b/>
        </w:rPr>
        <w:t xml:space="preserve"> </w:t>
      </w:r>
    </w:p>
    <w:p w:rsidR="001D2BB7" w:rsidRDefault="001D2BB7"/>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tblGrid>
      <w:tr w:rsidR="001D2BB7">
        <w:tc>
          <w:tcPr>
            <w:tcW w:w="3402" w:type="dxa"/>
          </w:tcPr>
          <w:p w:rsidR="001D2BB7" w:rsidRDefault="001D2BB7">
            <w:pPr>
              <w:pStyle w:val="BodyText"/>
            </w:pPr>
            <w:r>
              <w:t>Electoral Division affected:</w:t>
            </w:r>
          </w:p>
          <w:p w:rsidR="001D2BB7" w:rsidRDefault="00F10DB1">
            <w:pPr>
              <w:ind w:right="-250"/>
              <w:rPr>
                <w:u w:val="single"/>
              </w:rPr>
            </w:pPr>
            <w:r>
              <w:t xml:space="preserve">All </w:t>
            </w:r>
          </w:p>
        </w:tc>
      </w:tr>
    </w:tbl>
    <w:p w:rsidR="00790ECB" w:rsidRDefault="00790ECB" w:rsidP="009E3D0E">
      <w:pPr>
        <w:rPr>
          <w:rFonts w:cs="Arial"/>
          <w:b/>
          <w:szCs w:val="24"/>
        </w:rPr>
      </w:pPr>
    </w:p>
    <w:p w:rsidR="009E3D0E" w:rsidRPr="009E3D0E" w:rsidRDefault="00787602" w:rsidP="009E3D0E">
      <w:pPr>
        <w:rPr>
          <w:rFonts w:cs="Arial"/>
          <w:b/>
          <w:szCs w:val="24"/>
        </w:rPr>
      </w:pPr>
      <w:r>
        <w:rPr>
          <w:rFonts w:cs="Arial"/>
          <w:b/>
          <w:szCs w:val="24"/>
        </w:rPr>
        <w:t>Lancashire Health and Wellbeing Board</w:t>
      </w:r>
    </w:p>
    <w:p w:rsidR="009E3D0E" w:rsidRPr="009E3D0E" w:rsidRDefault="009E3D0E" w:rsidP="009E3D0E">
      <w:pPr>
        <w:rPr>
          <w:rFonts w:cs="Arial"/>
          <w:b/>
          <w:szCs w:val="24"/>
        </w:rPr>
      </w:pPr>
      <w:r w:rsidRPr="009E3D0E">
        <w:rPr>
          <w:rFonts w:cs="Arial"/>
          <w:b/>
          <w:szCs w:val="24"/>
        </w:rPr>
        <w:t xml:space="preserve">Establishment:  </w:t>
      </w:r>
      <w:r w:rsidR="00787602">
        <w:rPr>
          <w:rFonts w:cs="Arial"/>
          <w:b/>
          <w:szCs w:val="24"/>
        </w:rPr>
        <w:t>Board</w:t>
      </w:r>
      <w:r w:rsidRPr="009E3D0E">
        <w:rPr>
          <w:rFonts w:cs="Arial"/>
          <w:b/>
          <w:szCs w:val="24"/>
        </w:rPr>
        <w:t xml:space="preserve"> Arrangements, Terms of R</w:t>
      </w:r>
      <w:r w:rsidR="0020713C">
        <w:rPr>
          <w:rFonts w:cs="Arial"/>
          <w:b/>
          <w:szCs w:val="24"/>
        </w:rPr>
        <w:t>eference and R</w:t>
      </w:r>
      <w:r w:rsidR="00790ECB">
        <w:rPr>
          <w:rFonts w:cs="Arial"/>
          <w:b/>
          <w:szCs w:val="24"/>
        </w:rPr>
        <w:t xml:space="preserve">ules of Procedure; </w:t>
      </w:r>
      <w:r w:rsidR="0020713C">
        <w:rPr>
          <w:rFonts w:cs="Arial"/>
          <w:b/>
          <w:szCs w:val="24"/>
        </w:rPr>
        <w:t>and Arrangements for Health Overview and Scrutiny</w:t>
      </w:r>
    </w:p>
    <w:p w:rsidR="001D2BB7" w:rsidRDefault="00495F6B" w:rsidP="009E3D0E">
      <w:r>
        <w:t>(Appendi</w:t>
      </w:r>
      <w:r w:rsidR="00C746DC">
        <w:t>ces</w:t>
      </w:r>
      <w:r>
        <w:t xml:space="preserve"> 'A'</w:t>
      </w:r>
      <w:r w:rsidR="00C746DC">
        <w:t xml:space="preserve"> and 'B'</w:t>
      </w:r>
      <w:r w:rsidR="009E3D0E">
        <w:t xml:space="preserve"> refer</w:t>
      </w:r>
      <w:r w:rsidR="00C83A92">
        <w:t xml:space="preserve">) </w:t>
      </w:r>
    </w:p>
    <w:p w:rsidR="001D2BB7" w:rsidRPr="00C83A92" w:rsidRDefault="001D2BB7">
      <w:pPr>
        <w:pStyle w:val="Header"/>
        <w:rPr>
          <w:rFonts w:ascii="Arial" w:hAnsi="Arial" w:cs="Arial"/>
        </w:rPr>
      </w:pPr>
    </w:p>
    <w:p w:rsidR="001D2BB7" w:rsidRPr="00C83A92" w:rsidRDefault="001D2BB7">
      <w:pPr>
        <w:ind w:right="-873"/>
        <w:rPr>
          <w:rFonts w:cs="Arial"/>
        </w:rPr>
      </w:pPr>
      <w:r w:rsidRPr="00C83A92">
        <w:rPr>
          <w:rFonts w:cs="Arial"/>
        </w:rPr>
        <w:t xml:space="preserve">Contact for further information: </w:t>
      </w:r>
    </w:p>
    <w:p w:rsidR="00C83A92" w:rsidRPr="00D12E8D" w:rsidRDefault="009E3D0E" w:rsidP="00C83A92">
      <w:pPr>
        <w:pStyle w:val="Header"/>
        <w:rPr>
          <w:rFonts w:ascii="Arial" w:hAnsi="Arial" w:cs="Arial"/>
        </w:rPr>
      </w:pPr>
      <w:r>
        <w:rPr>
          <w:rFonts w:ascii="Arial" w:hAnsi="Arial" w:cs="Arial"/>
        </w:rPr>
        <w:t>Roy Jones</w:t>
      </w:r>
      <w:r w:rsidR="006223E0" w:rsidRPr="00D12E8D">
        <w:rPr>
          <w:rFonts w:ascii="Arial" w:hAnsi="Arial" w:cs="Arial"/>
        </w:rPr>
        <w:t xml:space="preserve"> </w:t>
      </w:r>
      <w:r w:rsidR="00787602">
        <w:rPr>
          <w:rFonts w:ascii="Arial" w:hAnsi="Arial" w:cs="Arial"/>
        </w:rPr>
        <w:t>(</w:t>
      </w:r>
      <w:r w:rsidR="00C83A92" w:rsidRPr="00D12E8D">
        <w:rPr>
          <w:rFonts w:ascii="Arial" w:hAnsi="Arial" w:cs="Arial"/>
        </w:rPr>
        <w:t>01772) 53</w:t>
      </w:r>
      <w:r>
        <w:rPr>
          <w:rFonts w:ascii="Arial" w:hAnsi="Arial" w:cs="Arial"/>
        </w:rPr>
        <w:t>3619</w:t>
      </w:r>
      <w:r w:rsidR="00C83A92" w:rsidRPr="00D12E8D">
        <w:rPr>
          <w:rFonts w:ascii="Arial" w:hAnsi="Arial" w:cs="Arial"/>
        </w:rPr>
        <w:t>, Democratic Services, Office of the Chief Executive</w:t>
      </w:r>
    </w:p>
    <w:p w:rsidR="00C83A92" w:rsidRDefault="009B79FA" w:rsidP="00C83A92">
      <w:pPr>
        <w:rPr>
          <w:rFonts w:cs="Arial"/>
        </w:rPr>
      </w:pPr>
      <w:hyperlink r:id="rId8" w:history="1">
        <w:r w:rsidR="00787602" w:rsidRPr="000D0861">
          <w:rPr>
            <w:rStyle w:val="Hyperlink"/>
            <w:rFonts w:cs="Arial"/>
          </w:rPr>
          <w:t>roy.jones@lancashire.gov.uk</w:t>
        </w:r>
      </w:hyperlink>
    </w:p>
    <w:p w:rsidR="00C83A92" w:rsidRPr="00C83A92" w:rsidRDefault="00C83A92" w:rsidP="00C83A9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C83A92" w:rsidTr="00FD528C">
        <w:trPr>
          <w:trHeight w:val="3147"/>
        </w:trPr>
        <w:tc>
          <w:tcPr>
            <w:tcW w:w="9180" w:type="dxa"/>
          </w:tcPr>
          <w:p w:rsidR="00C83A92" w:rsidRDefault="00C83A92" w:rsidP="004A6EAD">
            <w:pPr>
              <w:rPr>
                <w:b/>
                <w:u w:val="single"/>
              </w:rPr>
            </w:pPr>
          </w:p>
          <w:p w:rsidR="009E3D0E" w:rsidRDefault="00C83A92" w:rsidP="004A6EAD">
            <w:pPr>
              <w:pStyle w:val="Heading6"/>
              <w:rPr>
                <w:rFonts w:ascii="Arial" w:hAnsi="Arial"/>
              </w:rPr>
            </w:pPr>
            <w:r>
              <w:rPr>
                <w:rFonts w:ascii="Arial" w:hAnsi="Arial"/>
              </w:rPr>
              <w:t xml:space="preserve">Executive Summary </w:t>
            </w:r>
          </w:p>
          <w:p w:rsidR="009E3D0E" w:rsidRDefault="009E3D0E" w:rsidP="004A6EAD">
            <w:pPr>
              <w:pStyle w:val="Heading6"/>
              <w:rPr>
                <w:rFonts w:ascii="Arial" w:hAnsi="Arial"/>
              </w:rPr>
            </w:pPr>
          </w:p>
          <w:p w:rsidR="009E3D0E" w:rsidRPr="009E3D0E" w:rsidRDefault="009E3D0E" w:rsidP="004A6EAD">
            <w:pPr>
              <w:pStyle w:val="Heading6"/>
              <w:rPr>
                <w:rFonts w:ascii="Arial" w:hAnsi="Arial"/>
                <w:b w:val="0"/>
              </w:rPr>
            </w:pPr>
            <w:r w:rsidRPr="009E3D0E">
              <w:rPr>
                <w:rFonts w:ascii="Arial" w:hAnsi="Arial"/>
                <w:b w:val="0"/>
              </w:rPr>
              <w:t>The establishment of a Lanc</w:t>
            </w:r>
            <w:r>
              <w:rPr>
                <w:rFonts w:ascii="Arial" w:hAnsi="Arial"/>
                <w:b w:val="0"/>
              </w:rPr>
              <w:t>a</w:t>
            </w:r>
            <w:r w:rsidRPr="009E3D0E">
              <w:rPr>
                <w:rFonts w:ascii="Arial" w:hAnsi="Arial"/>
                <w:b w:val="0"/>
              </w:rPr>
              <w:t>shire</w:t>
            </w:r>
            <w:r w:rsidR="00787602">
              <w:rPr>
                <w:rFonts w:ascii="Arial" w:hAnsi="Arial"/>
                <w:b w:val="0"/>
              </w:rPr>
              <w:t xml:space="preserve"> Health and Wellbeing Board</w:t>
            </w:r>
            <w:r w:rsidR="00F85C62">
              <w:rPr>
                <w:rFonts w:ascii="Arial" w:hAnsi="Arial"/>
                <w:b w:val="0"/>
              </w:rPr>
              <w:t>, and revised arrangements for Health Overview and Scrutiny</w:t>
            </w:r>
            <w:r w:rsidR="00790ECB">
              <w:rPr>
                <w:rFonts w:ascii="Arial" w:hAnsi="Arial"/>
                <w:b w:val="0"/>
              </w:rPr>
              <w:t>.</w:t>
            </w:r>
          </w:p>
          <w:p w:rsidR="009E3D0E" w:rsidRDefault="009E3D0E" w:rsidP="004A6EAD">
            <w:pPr>
              <w:pStyle w:val="Heading6"/>
              <w:rPr>
                <w:rFonts w:ascii="Arial" w:hAnsi="Arial"/>
              </w:rPr>
            </w:pPr>
          </w:p>
          <w:p w:rsidR="00C83A92" w:rsidRDefault="00C83A92" w:rsidP="004A6EAD">
            <w:pPr>
              <w:pStyle w:val="Heading6"/>
              <w:rPr>
                <w:rFonts w:ascii="Arial" w:hAnsi="Arial"/>
              </w:rPr>
            </w:pPr>
            <w:r>
              <w:rPr>
                <w:rFonts w:ascii="Arial" w:hAnsi="Arial"/>
              </w:rPr>
              <w:t>Recommendation</w:t>
            </w:r>
          </w:p>
          <w:p w:rsidR="009E3D0E" w:rsidRPr="009E3D0E" w:rsidRDefault="009E3D0E" w:rsidP="009E3D0E"/>
          <w:p w:rsidR="009E3D0E" w:rsidRDefault="00246DAF" w:rsidP="009E3D0E">
            <w:pPr>
              <w:rPr>
                <w:rFonts w:cs="Arial"/>
                <w:szCs w:val="24"/>
              </w:rPr>
            </w:pPr>
            <w:r>
              <w:rPr>
                <w:rFonts w:cs="Arial"/>
                <w:szCs w:val="24"/>
              </w:rPr>
              <w:t>The</w:t>
            </w:r>
            <w:r w:rsidR="00B56266">
              <w:rPr>
                <w:rFonts w:cs="Arial"/>
                <w:szCs w:val="24"/>
              </w:rPr>
              <w:t xml:space="preserve"> Committee</w:t>
            </w:r>
            <w:r w:rsidR="004E2996">
              <w:rPr>
                <w:rFonts w:cs="Arial"/>
                <w:szCs w:val="24"/>
              </w:rPr>
              <w:t xml:space="preserve"> is </w:t>
            </w:r>
            <w:r w:rsidR="009E3D0E">
              <w:rPr>
                <w:rFonts w:cs="Arial"/>
                <w:szCs w:val="24"/>
              </w:rPr>
              <w:t>asked to:</w:t>
            </w:r>
          </w:p>
          <w:p w:rsidR="009E3D0E" w:rsidRDefault="009E3D0E" w:rsidP="009E3D0E">
            <w:pPr>
              <w:rPr>
                <w:rFonts w:cs="Arial"/>
                <w:szCs w:val="24"/>
              </w:rPr>
            </w:pPr>
          </w:p>
          <w:p w:rsidR="009E3D0E" w:rsidRDefault="009E3D0E" w:rsidP="00623F7D">
            <w:pPr>
              <w:numPr>
                <w:ilvl w:val="0"/>
                <w:numId w:val="20"/>
              </w:numPr>
              <w:spacing w:after="200"/>
              <w:rPr>
                <w:rFonts w:cs="Arial"/>
                <w:szCs w:val="24"/>
              </w:rPr>
            </w:pPr>
            <w:r>
              <w:rPr>
                <w:rFonts w:cs="Arial"/>
                <w:szCs w:val="24"/>
              </w:rPr>
              <w:t>agree to the establishment of a Lancashire</w:t>
            </w:r>
            <w:r w:rsidR="00787602">
              <w:rPr>
                <w:rFonts w:cs="Arial"/>
                <w:szCs w:val="24"/>
              </w:rPr>
              <w:t xml:space="preserve"> Health and Wellbeing Board</w:t>
            </w:r>
            <w:r>
              <w:rPr>
                <w:rFonts w:cs="Arial"/>
                <w:szCs w:val="24"/>
              </w:rPr>
              <w:t xml:space="preserve"> as a formal Committee of the </w:t>
            </w:r>
            <w:r w:rsidR="00FD32F5">
              <w:rPr>
                <w:rFonts w:cs="Arial"/>
                <w:szCs w:val="24"/>
              </w:rPr>
              <w:t>County Cou</w:t>
            </w:r>
            <w:r w:rsidR="00BA28BF">
              <w:rPr>
                <w:rFonts w:cs="Arial"/>
                <w:szCs w:val="24"/>
              </w:rPr>
              <w:t>ncil</w:t>
            </w:r>
            <w:r>
              <w:rPr>
                <w:rFonts w:cs="Arial"/>
                <w:szCs w:val="24"/>
              </w:rPr>
              <w:t>, on the basis as set out in this report;</w:t>
            </w:r>
          </w:p>
          <w:p w:rsidR="00B86B3A" w:rsidRDefault="00BA28BF" w:rsidP="00623F7D">
            <w:pPr>
              <w:numPr>
                <w:ilvl w:val="0"/>
                <w:numId w:val="20"/>
              </w:numPr>
              <w:spacing w:after="200"/>
              <w:rPr>
                <w:rFonts w:cs="Arial"/>
                <w:szCs w:val="24"/>
              </w:rPr>
            </w:pPr>
            <w:r>
              <w:rPr>
                <w:rFonts w:cs="Arial"/>
                <w:szCs w:val="24"/>
              </w:rPr>
              <w:t>approve the</w:t>
            </w:r>
            <w:r w:rsidR="009E3D0E">
              <w:rPr>
                <w:rFonts w:cs="Arial"/>
                <w:szCs w:val="24"/>
              </w:rPr>
              <w:t xml:space="preserve"> member</w:t>
            </w:r>
            <w:r>
              <w:rPr>
                <w:rFonts w:cs="Arial"/>
                <w:szCs w:val="24"/>
              </w:rPr>
              <w:t>ship</w:t>
            </w:r>
            <w:r w:rsidR="009E3D0E">
              <w:rPr>
                <w:rFonts w:cs="Arial"/>
                <w:szCs w:val="24"/>
              </w:rPr>
              <w:t xml:space="preserve"> to the </w:t>
            </w:r>
            <w:r>
              <w:rPr>
                <w:rFonts w:cs="Arial"/>
                <w:szCs w:val="24"/>
              </w:rPr>
              <w:t>Lancashire Health and Wellbeing Board for 2013/14</w:t>
            </w:r>
            <w:r w:rsidR="009E3D0E">
              <w:rPr>
                <w:rFonts w:cs="Arial"/>
                <w:szCs w:val="24"/>
              </w:rPr>
              <w:t xml:space="preserve">, on the </w:t>
            </w:r>
            <w:r>
              <w:rPr>
                <w:rFonts w:cs="Arial"/>
                <w:szCs w:val="24"/>
              </w:rPr>
              <w:t>basis as set out in this report,</w:t>
            </w:r>
          </w:p>
          <w:p w:rsidR="009E3D0E" w:rsidRDefault="00B86B3A" w:rsidP="00623F7D">
            <w:pPr>
              <w:numPr>
                <w:ilvl w:val="0"/>
                <w:numId w:val="20"/>
              </w:numPr>
              <w:spacing w:after="200"/>
              <w:rPr>
                <w:rFonts w:cs="Arial"/>
                <w:szCs w:val="24"/>
              </w:rPr>
            </w:pPr>
            <w:r>
              <w:rPr>
                <w:rFonts w:cs="Arial"/>
                <w:szCs w:val="24"/>
              </w:rPr>
              <w:t>approve that all members of the Lancashire Health and Wellbeing Board shall have equal voting rights, on the basis set out in the terms of reference of the Board set out at Appendix 'A',</w:t>
            </w:r>
            <w:r w:rsidR="00C746DC">
              <w:rPr>
                <w:rFonts w:cs="Arial"/>
                <w:szCs w:val="24"/>
              </w:rPr>
              <w:t xml:space="preserve"> and disapply the requiremen</w:t>
            </w:r>
            <w:r w:rsidR="00790ECB">
              <w:rPr>
                <w:rFonts w:cs="Arial"/>
                <w:szCs w:val="24"/>
              </w:rPr>
              <w:t>ts to political proportionality,</w:t>
            </w:r>
          </w:p>
          <w:p w:rsidR="00C83A92" w:rsidRDefault="009E3D0E" w:rsidP="00BA28BF">
            <w:pPr>
              <w:numPr>
                <w:ilvl w:val="0"/>
                <w:numId w:val="20"/>
              </w:numPr>
              <w:spacing w:after="200"/>
              <w:rPr>
                <w:rFonts w:cs="Arial"/>
                <w:szCs w:val="24"/>
              </w:rPr>
            </w:pPr>
            <w:r>
              <w:rPr>
                <w:rFonts w:cs="Arial"/>
                <w:szCs w:val="24"/>
              </w:rPr>
              <w:t xml:space="preserve">agree to the arrangements, procedural rules and the terms of reference of the </w:t>
            </w:r>
            <w:r w:rsidR="00BA28BF">
              <w:rPr>
                <w:rFonts w:cs="Arial"/>
                <w:szCs w:val="24"/>
              </w:rPr>
              <w:t>Board</w:t>
            </w:r>
            <w:r w:rsidR="00790ECB">
              <w:rPr>
                <w:rFonts w:cs="Arial"/>
                <w:szCs w:val="24"/>
              </w:rPr>
              <w:t xml:space="preserve"> as set out in this report,</w:t>
            </w:r>
            <w:r w:rsidRPr="00BA28BF">
              <w:rPr>
                <w:rFonts w:cs="Arial"/>
                <w:szCs w:val="24"/>
              </w:rPr>
              <w:t xml:space="preserve"> </w:t>
            </w:r>
          </w:p>
          <w:p w:rsidR="0020713C" w:rsidRDefault="00790ECB" w:rsidP="00BA28BF">
            <w:pPr>
              <w:numPr>
                <w:ilvl w:val="0"/>
                <w:numId w:val="20"/>
              </w:numPr>
              <w:spacing w:after="200"/>
              <w:rPr>
                <w:rFonts w:cs="Arial"/>
                <w:szCs w:val="24"/>
              </w:rPr>
            </w:pPr>
            <w:r>
              <w:rPr>
                <w:rFonts w:cs="Arial"/>
                <w:szCs w:val="24"/>
              </w:rPr>
              <w:t>a</w:t>
            </w:r>
            <w:r w:rsidR="0020713C">
              <w:rPr>
                <w:rFonts w:cs="Arial"/>
                <w:szCs w:val="24"/>
              </w:rPr>
              <w:t>gree that the health scrutiny functions of Lancashire County Council be discharged by the Health Scrutiny Committee</w:t>
            </w:r>
            <w:r w:rsidR="00B86B3A">
              <w:rPr>
                <w:rFonts w:cs="Arial"/>
                <w:szCs w:val="24"/>
              </w:rPr>
              <w:t>, and;</w:t>
            </w:r>
          </w:p>
          <w:p w:rsidR="00F85C62" w:rsidRPr="00BA28BF" w:rsidRDefault="00790ECB" w:rsidP="001F365F">
            <w:pPr>
              <w:numPr>
                <w:ilvl w:val="0"/>
                <w:numId w:val="20"/>
              </w:numPr>
              <w:spacing w:after="200"/>
              <w:rPr>
                <w:rFonts w:cs="Arial"/>
                <w:szCs w:val="24"/>
              </w:rPr>
            </w:pPr>
            <w:r>
              <w:rPr>
                <w:rFonts w:cs="Arial"/>
                <w:szCs w:val="24"/>
              </w:rPr>
              <w:t>a</w:t>
            </w:r>
            <w:r w:rsidR="00F85C62">
              <w:rPr>
                <w:rFonts w:cs="Arial"/>
                <w:szCs w:val="24"/>
              </w:rPr>
              <w:t>gree the revised terms of reference for the Health Scrutiny Committee as set out in this report</w:t>
            </w:r>
            <w:r w:rsidR="0020713C">
              <w:rPr>
                <w:rFonts w:cs="Arial"/>
                <w:szCs w:val="24"/>
              </w:rPr>
              <w:t xml:space="preserve"> </w:t>
            </w:r>
            <w:r w:rsidR="001F365F">
              <w:rPr>
                <w:rFonts w:cs="Arial"/>
                <w:szCs w:val="24"/>
              </w:rPr>
              <w:t xml:space="preserve">and Appendix </w:t>
            </w:r>
            <w:r>
              <w:rPr>
                <w:rFonts w:cs="Arial"/>
                <w:szCs w:val="24"/>
              </w:rPr>
              <w:t>'</w:t>
            </w:r>
            <w:r w:rsidR="001F365F">
              <w:rPr>
                <w:rFonts w:cs="Arial"/>
                <w:szCs w:val="24"/>
              </w:rPr>
              <w:t>B</w:t>
            </w:r>
            <w:r>
              <w:rPr>
                <w:rFonts w:cs="Arial"/>
                <w:szCs w:val="24"/>
              </w:rPr>
              <w:t>'.</w:t>
            </w:r>
          </w:p>
        </w:tc>
      </w:tr>
    </w:tbl>
    <w:p w:rsidR="00790ECB" w:rsidRDefault="00790ECB" w:rsidP="009E3D0E">
      <w:pPr>
        <w:rPr>
          <w:rFonts w:cs="Arial"/>
          <w:b/>
        </w:rPr>
      </w:pPr>
    </w:p>
    <w:p w:rsidR="009E3D0E" w:rsidRDefault="009E3D0E" w:rsidP="009E3D0E">
      <w:pPr>
        <w:rPr>
          <w:rFonts w:cs="Arial"/>
          <w:b/>
        </w:rPr>
      </w:pPr>
      <w:r>
        <w:rPr>
          <w:rFonts w:cs="Arial"/>
          <w:b/>
        </w:rPr>
        <w:t>Background</w:t>
      </w:r>
      <w:r w:rsidR="00F07533">
        <w:rPr>
          <w:rFonts w:cs="Arial"/>
          <w:b/>
        </w:rPr>
        <w:t xml:space="preserve"> and Advice</w:t>
      </w:r>
    </w:p>
    <w:p w:rsidR="009E3D0E" w:rsidRDefault="009E3D0E" w:rsidP="009E3D0E">
      <w:pPr>
        <w:rPr>
          <w:rFonts w:cs="Arial"/>
          <w:szCs w:val="24"/>
        </w:rPr>
      </w:pPr>
    </w:p>
    <w:p w:rsidR="00FD32F5" w:rsidRPr="00FD32F5" w:rsidRDefault="00FD32F5" w:rsidP="009E3D0E">
      <w:pPr>
        <w:rPr>
          <w:rFonts w:cs="Arial"/>
          <w:szCs w:val="24"/>
        </w:rPr>
      </w:pPr>
      <w:r w:rsidRPr="00FD32F5">
        <w:rPr>
          <w:rFonts w:cs="Arial"/>
          <w:szCs w:val="24"/>
        </w:rPr>
        <w:t xml:space="preserve">The Health and Social Care Act 2012 stated that local authorities must establish a Health and Wellbeing Board for their areas.  </w:t>
      </w:r>
    </w:p>
    <w:p w:rsidR="00FD32F5" w:rsidRPr="00FD32F5" w:rsidRDefault="00FD32F5" w:rsidP="009E3D0E">
      <w:pPr>
        <w:rPr>
          <w:rFonts w:cs="Arial"/>
          <w:szCs w:val="24"/>
        </w:rPr>
      </w:pPr>
    </w:p>
    <w:p w:rsidR="00FD32F5" w:rsidRDefault="00FD32F5" w:rsidP="009E3D0E">
      <w:pPr>
        <w:rPr>
          <w:rStyle w:val="legds2"/>
          <w:rFonts w:cs="Arial"/>
          <w:szCs w:val="24"/>
        </w:rPr>
      </w:pPr>
      <w:r w:rsidRPr="00FD32F5">
        <w:rPr>
          <w:rStyle w:val="legds2"/>
          <w:rFonts w:cs="Arial"/>
          <w:szCs w:val="24"/>
        </w:rPr>
        <w:lastRenderedPageBreak/>
        <w:t>The act states that: 'A Health and Wellbeing Board is a committee of the local authority which established it and, for the purposes of any enactment, is to be treated as if it were a committee appointed by that authority under section 102 of the Local Government Act 1972.'</w:t>
      </w:r>
    </w:p>
    <w:p w:rsidR="00FD32F5" w:rsidRPr="00FD32F5" w:rsidRDefault="00FD32F5" w:rsidP="009E3D0E">
      <w:pPr>
        <w:rPr>
          <w:rFonts w:cs="Arial"/>
          <w:szCs w:val="24"/>
        </w:rPr>
      </w:pPr>
    </w:p>
    <w:p w:rsidR="009E3D0E" w:rsidRDefault="00FD32F5" w:rsidP="009E3D0E">
      <w:pPr>
        <w:rPr>
          <w:rFonts w:cs="Arial"/>
          <w:szCs w:val="24"/>
        </w:rPr>
      </w:pPr>
      <w:r>
        <w:rPr>
          <w:rFonts w:cs="Arial"/>
          <w:szCs w:val="24"/>
        </w:rPr>
        <w:t>On 8</w:t>
      </w:r>
      <w:r w:rsidRPr="00FD32F5">
        <w:rPr>
          <w:rFonts w:cs="Arial"/>
          <w:szCs w:val="24"/>
          <w:vertAlign w:val="superscript"/>
        </w:rPr>
        <w:t>th</w:t>
      </w:r>
      <w:r>
        <w:rPr>
          <w:rFonts w:cs="Arial"/>
          <w:szCs w:val="24"/>
        </w:rPr>
        <w:t xml:space="preserve"> February 2013 the Government published t</w:t>
      </w:r>
      <w:r w:rsidR="00BA28BF">
        <w:rPr>
          <w:rFonts w:cs="Arial"/>
          <w:szCs w:val="24"/>
        </w:rPr>
        <w:t>he Local Authority (Public Health, Health and Wellbeing Boards and He</w:t>
      </w:r>
      <w:r>
        <w:rPr>
          <w:rFonts w:cs="Arial"/>
          <w:szCs w:val="24"/>
        </w:rPr>
        <w:t xml:space="preserve">alth Scrutiny) Regulations 2013.  The publication of these regulations </w:t>
      </w:r>
      <w:r w:rsidR="00C746DC">
        <w:rPr>
          <w:rFonts w:cs="Arial"/>
          <w:szCs w:val="24"/>
        </w:rPr>
        <w:t>prescribes the rules</w:t>
      </w:r>
      <w:r>
        <w:rPr>
          <w:rFonts w:cs="Arial"/>
          <w:szCs w:val="24"/>
        </w:rPr>
        <w:t xml:space="preserve"> on the arrangements, procedural rules and regulations </w:t>
      </w:r>
      <w:r w:rsidR="00400D8B">
        <w:rPr>
          <w:rFonts w:cs="Arial"/>
          <w:szCs w:val="24"/>
        </w:rPr>
        <w:t>relating</w:t>
      </w:r>
      <w:r w:rsidR="00F85C62">
        <w:rPr>
          <w:rFonts w:cs="Arial"/>
          <w:szCs w:val="24"/>
        </w:rPr>
        <w:t xml:space="preserve"> to Health and Wellbeing Boards and Health Overview and Scrutiny.</w:t>
      </w:r>
    </w:p>
    <w:p w:rsidR="00400D8B" w:rsidRDefault="00400D8B" w:rsidP="009E3D0E">
      <w:pPr>
        <w:rPr>
          <w:rFonts w:cs="Arial"/>
          <w:szCs w:val="24"/>
        </w:rPr>
      </w:pPr>
    </w:p>
    <w:p w:rsidR="00F85C62" w:rsidRPr="00F85C62" w:rsidRDefault="00F85C62" w:rsidP="009E3D0E">
      <w:pPr>
        <w:rPr>
          <w:rFonts w:cs="Arial"/>
          <w:b/>
          <w:szCs w:val="24"/>
        </w:rPr>
      </w:pPr>
      <w:r w:rsidRPr="00F85C62">
        <w:rPr>
          <w:rFonts w:cs="Arial"/>
          <w:b/>
          <w:szCs w:val="24"/>
        </w:rPr>
        <w:t>Health and Wellbeing Board</w:t>
      </w:r>
    </w:p>
    <w:p w:rsidR="00F85C62" w:rsidRDefault="00F85C62" w:rsidP="009E3D0E">
      <w:pPr>
        <w:rPr>
          <w:rFonts w:cs="Arial"/>
          <w:szCs w:val="24"/>
        </w:rPr>
      </w:pPr>
    </w:p>
    <w:p w:rsidR="00495F6B" w:rsidRPr="00495F6B" w:rsidRDefault="00495F6B" w:rsidP="00495F6B">
      <w:pPr>
        <w:rPr>
          <w:rStyle w:val="legds2"/>
          <w:rFonts w:cs="Arial"/>
          <w:szCs w:val="24"/>
        </w:rPr>
      </w:pPr>
      <w:r w:rsidRPr="00495F6B">
        <w:rPr>
          <w:rStyle w:val="legds2"/>
          <w:rFonts w:cs="Arial"/>
          <w:szCs w:val="24"/>
        </w:rPr>
        <w:t>A Health and Wellbeing Board is a committee of the local authority which established it and, for the purposes of any enactment, is to be treated as if it were a committee appointed by that authority under section 102 of the Local Government Act 1972.</w:t>
      </w:r>
    </w:p>
    <w:p w:rsidR="00495F6B" w:rsidRPr="00400D8B" w:rsidRDefault="00495F6B" w:rsidP="009E3D0E">
      <w:pPr>
        <w:rPr>
          <w:rFonts w:cs="Arial"/>
          <w:szCs w:val="24"/>
        </w:rPr>
      </w:pPr>
    </w:p>
    <w:p w:rsidR="00400D8B" w:rsidRPr="00400D8B" w:rsidRDefault="00400D8B" w:rsidP="00400D8B">
      <w:pPr>
        <w:rPr>
          <w:rFonts w:cs="Arial"/>
          <w:szCs w:val="24"/>
        </w:rPr>
      </w:pPr>
      <w:r w:rsidRPr="00400D8B">
        <w:rPr>
          <w:rFonts w:cs="Arial"/>
          <w:szCs w:val="24"/>
        </w:rPr>
        <w:t xml:space="preserve">The regulations make provision for the </w:t>
      </w:r>
      <w:r w:rsidRPr="00400D8B">
        <w:rPr>
          <w:rFonts w:cs="Arial"/>
          <w:szCs w:val="24"/>
          <w:lang w:val="en-US"/>
        </w:rPr>
        <w:t>disapplication and modification of certain enactments relating to local authority committees appointed under section 102 of the Local Government Act 1972, insofar as they are applicable to a health and wellbeing board established under section 194 of the Health and Social Care Act 2012. The regulations aim to provide local areas with the flexibility and freedom to shape their health and wellbeing boards as best fits with local circumstances. In particular:</w:t>
      </w:r>
    </w:p>
    <w:p w:rsidR="00400D8B" w:rsidRDefault="00400D8B" w:rsidP="00400D8B">
      <w:pPr>
        <w:pStyle w:val="ListParagraph"/>
        <w:numPr>
          <w:ilvl w:val="0"/>
          <w:numId w:val="24"/>
        </w:numPr>
        <w:shd w:val="clear" w:color="auto" w:fill="FFFFFF"/>
        <w:spacing w:before="100" w:beforeAutospacing="1" w:after="100" w:afterAutospacing="1" w:line="288" w:lineRule="atLeast"/>
        <w:rPr>
          <w:rFonts w:cs="Arial"/>
          <w:szCs w:val="24"/>
          <w:lang w:val="en-US"/>
        </w:rPr>
      </w:pPr>
      <w:r w:rsidRPr="00400D8B">
        <w:rPr>
          <w:rFonts w:cs="Arial"/>
          <w:szCs w:val="24"/>
          <w:lang w:val="en-US"/>
        </w:rPr>
        <w:t>health and wellbeing boards will be free to establish sub-committees and delegate functions to them;</w:t>
      </w:r>
    </w:p>
    <w:p w:rsidR="00400D8B" w:rsidRDefault="00400D8B" w:rsidP="00400D8B">
      <w:pPr>
        <w:pStyle w:val="ListParagraph"/>
        <w:numPr>
          <w:ilvl w:val="0"/>
          <w:numId w:val="24"/>
        </w:numPr>
        <w:shd w:val="clear" w:color="auto" w:fill="FFFFFF"/>
        <w:spacing w:before="100" w:beforeAutospacing="1" w:after="100" w:afterAutospacing="1" w:line="288" w:lineRule="atLeast"/>
        <w:rPr>
          <w:rFonts w:cs="Arial"/>
          <w:szCs w:val="24"/>
          <w:lang w:val="en-US"/>
        </w:rPr>
      </w:pPr>
      <w:r w:rsidRPr="00400D8B">
        <w:rPr>
          <w:rFonts w:cs="Arial"/>
          <w:szCs w:val="24"/>
          <w:lang w:val="en-US"/>
        </w:rPr>
        <w:t>voting restrictions have been lifted so that non-elected members of a health and wellbeing board (i.e. CCG representative, local Healthwatch, Directors of Public Health, Children’s Services and Adult Social Services and any wider members) could vote alongside nominated elected representatives on the board.</w:t>
      </w:r>
    </w:p>
    <w:p w:rsidR="009E3D0E" w:rsidRDefault="00400D8B" w:rsidP="009E3D0E">
      <w:pPr>
        <w:pStyle w:val="ListParagraph"/>
        <w:numPr>
          <w:ilvl w:val="0"/>
          <w:numId w:val="24"/>
        </w:numPr>
        <w:shd w:val="clear" w:color="auto" w:fill="FFFFFF"/>
        <w:spacing w:before="100" w:beforeAutospacing="1" w:after="100" w:afterAutospacing="1" w:line="288" w:lineRule="atLeast"/>
        <w:rPr>
          <w:rFonts w:cs="Arial"/>
          <w:szCs w:val="24"/>
          <w:lang w:val="en-US"/>
        </w:rPr>
      </w:pPr>
      <w:r w:rsidRPr="00400D8B">
        <w:rPr>
          <w:rFonts w:cs="Arial"/>
          <w:szCs w:val="24"/>
          <w:lang w:val="en-US"/>
        </w:rPr>
        <w:t>political proportionality requirements have also been lifted so that the question of political proportionality of health and wellbeing board membership is left to local determination.</w:t>
      </w:r>
    </w:p>
    <w:p w:rsidR="00400D8B" w:rsidRPr="00495F6B" w:rsidRDefault="00400D8B" w:rsidP="00400D8B">
      <w:pPr>
        <w:shd w:val="clear" w:color="auto" w:fill="FFFFFF"/>
        <w:spacing w:before="100" w:beforeAutospacing="1" w:after="100" w:afterAutospacing="1" w:line="288" w:lineRule="atLeast"/>
        <w:rPr>
          <w:rFonts w:cs="Arial"/>
          <w:b/>
          <w:szCs w:val="24"/>
          <w:lang w:val="en-US"/>
        </w:rPr>
      </w:pPr>
      <w:r w:rsidRPr="00495F6B">
        <w:rPr>
          <w:rFonts w:cs="Arial"/>
          <w:b/>
          <w:szCs w:val="24"/>
          <w:lang w:val="en-US"/>
        </w:rPr>
        <w:t>Role and Responsibility of Health and Wellbeing Boards</w:t>
      </w:r>
    </w:p>
    <w:p w:rsidR="00495F6B" w:rsidRDefault="00495F6B" w:rsidP="00495F6B">
      <w:pPr>
        <w:shd w:val="clear" w:color="auto" w:fill="FFFFFF"/>
        <w:spacing w:before="100" w:beforeAutospacing="1"/>
        <w:rPr>
          <w:rFonts w:cs="Arial"/>
          <w:szCs w:val="24"/>
          <w:lang w:val="en-US"/>
        </w:rPr>
      </w:pPr>
      <w:r w:rsidRPr="00495F6B">
        <w:rPr>
          <w:rFonts w:cs="Arial"/>
          <w:szCs w:val="24"/>
          <w:lang w:val="en-US"/>
        </w:rPr>
        <w:t>The Health and Social care Act 2012 establishes health and wellbeing boards as a forum where key leaders from the health and care system work together to improve the health and wellbeing of their local population and reduce health inequalities.</w:t>
      </w:r>
    </w:p>
    <w:p w:rsidR="00495F6B" w:rsidRPr="00495F6B" w:rsidRDefault="00495F6B" w:rsidP="00495F6B">
      <w:pPr>
        <w:shd w:val="clear" w:color="auto" w:fill="FFFFFF"/>
        <w:spacing w:before="100" w:beforeAutospacing="1"/>
        <w:rPr>
          <w:rFonts w:cs="Arial"/>
          <w:szCs w:val="24"/>
          <w:lang w:val="en-US"/>
        </w:rPr>
      </w:pPr>
      <w:r w:rsidRPr="00495F6B">
        <w:rPr>
          <w:rFonts w:cs="Arial"/>
          <w:szCs w:val="24"/>
          <w:lang w:val="en-US"/>
        </w:rPr>
        <w:t xml:space="preserve">Each top tier and unitary authority </w:t>
      </w:r>
      <w:r>
        <w:rPr>
          <w:rFonts w:cs="Arial"/>
          <w:szCs w:val="24"/>
          <w:lang w:val="en-US"/>
        </w:rPr>
        <w:t>should have</w:t>
      </w:r>
      <w:r w:rsidRPr="00495F6B">
        <w:rPr>
          <w:rFonts w:cs="Arial"/>
          <w:szCs w:val="24"/>
          <w:lang w:val="en-US"/>
        </w:rPr>
        <w:t xml:space="preserve"> its own health and wellbeing board. Board members will collaborate to understand their local community’s needs, agree priorities and encourage commissioners to work in a more joined up way. As a result, patients and the public should experience more joined-up services from the NHS and local councils in the future.</w:t>
      </w:r>
    </w:p>
    <w:p w:rsidR="00495F6B" w:rsidRPr="00495F6B" w:rsidRDefault="00495F6B" w:rsidP="00495F6B">
      <w:pPr>
        <w:shd w:val="clear" w:color="auto" w:fill="FFFFFF"/>
        <w:spacing w:before="100" w:beforeAutospacing="1"/>
        <w:rPr>
          <w:rFonts w:cs="Arial"/>
          <w:szCs w:val="24"/>
          <w:lang w:val="en-US"/>
        </w:rPr>
      </w:pPr>
      <w:r w:rsidRPr="00495F6B">
        <w:rPr>
          <w:rFonts w:cs="Arial"/>
          <w:szCs w:val="24"/>
          <w:lang w:val="en-US"/>
        </w:rPr>
        <w:t>Health and wellbeing boards are a key part of broader plans to modernise the NHS to:</w:t>
      </w:r>
    </w:p>
    <w:p w:rsidR="00495F6B" w:rsidRDefault="00495F6B" w:rsidP="00495F6B">
      <w:pPr>
        <w:pStyle w:val="ListParagraph"/>
        <w:numPr>
          <w:ilvl w:val="0"/>
          <w:numId w:val="28"/>
        </w:numPr>
        <w:shd w:val="clear" w:color="auto" w:fill="FFFFFF"/>
        <w:spacing w:before="100" w:beforeAutospacing="1" w:after="100" w:afterAutospacing="1"/>
        <w:rPr>
          <w:rFonts w:cs="Arial"/>
          <w:szCs w:val="24"/>
          <w:lang w:val="en-US"/>
        </w:rPr>
      </w:pPr>
      <w:r w:rsidRPr="00495F6B">
        <w:rPr>
          <w:rFonts w:cs="Arial"/>
          <w:szCs w:val="24"/>
          <w:lang w:val="en-US"/>
        </w:rPr>
        <w:lastRenderedPageBreak/>
        <w:t>ensure stronger democratic legitimacy and involvement</w:t>
      </w:r>
    </w:p>
    <w:p w:rsidR="00495F6B" w:rsidRDefault="00495F6B" w:rsidP="00495F6B">
      <w:pPr>
        <w:pStyle w:val="ListParagraph"/>
        <w:numPr>
          <w:ilvl w:val="0"/>
          <w:numId w:val="28"/>
        </w:numPr>
        <w:shd w:val="clear" w:color="auto" w:fill="FFFFFF"/>
        <w:spacing w:before="100" w:beforeAutospacing="1" w:after="100" w:afterAutospacing="1"/>
        <w:rPr>
          <w:rFonts w:cs="Arial"/>
          <w:szCs w:val="24"/>
          <w:lang w:val="en-US"/>
        </w:rPr>
      </w:pPr>
      <w:r w:rsidRPr="00495F6B">
        <w:rPr>
          <w:rFonts w:cs="Arial"/>
          <w:szCs w:val="24"/>
          <w:lang w:val="en-US"/>
        </w:rPr>
        <w:t>strengthen working relationships between health and social care, and</w:t>
      </w:r>
      <w:r>
        <w:rPr>
          <w:rFonts w:cs="Arial"/>
          <w:szCs w:val="24"/>
          <w:lang w:val="en-US"/>
        </w:rPr>
        <w:t>;</w:t>
      </w:r>
    </w:p>
    <w:p w:rsidR="00495F6B" w:rsidRPr="00495F6B" w:rsidRDefault="00495F6B" w:rsidP="00495F6B">
      <w:pPr>
        <w:pStyle w:val="ListParagraph"/>
        <w:numPr>
          <w:ilvl w:val="0"/>
          <w:numId w:val="28"/>
        </w:numPr>
        <w:shd w:val="clear" w:color="auto" w:fill="FFFFFF"/>
        <w:spacing w:before="100" w:beforeAutospacing="1" w:after="100" w:afterAutospacing="1"/>
        <w:rPr>
          <w:rFonts w:cs="Arial"/>
          <w:szCs w:val="24"/>
          <w:lang w:val="en-US"/>
        </w:rPr>
      </w:pPr>
      <w:r w:rsidRPr="00495F6B">
        <w:rPr>
          <w:rFonts w:cs="Arial"/>
          <w:szCs w:val="24"/>
          <w:lang w:val="en-US"/>
        </w:rPr>
        <w:t>encourage the development of more integrated commissioning of services.</w:t>
      </w:r>
    </w:p>
    <w:p w:rsidR="00C746DC" w:rsidRDefault="00495F6B" w:rsidP="00495F6B">
      <w:pPr>
        <w:shd w:val="clear" w:color="auto" w:fill="FFFFFF"/>
        <w:spacing w:before="100" w:beforeAutospacing="1" w:after="360"/>
        <w:rPr>
          <w:rFonts w:cs="Arial"/>
          <w:szCs w:val="24"/>
          <w:lang w:val="en-US"/>
        </w:rPr>
      </w:pPr>
      <w:r w:rsidRPr="00495F6B">
        <w:rPr>
          <w:rFonts w:cs="Arial"/>
          <w:szCs w:val="24"/>
          <w:lang w:val="en-US"/>
        </w:rPr>
        <w:t>The boards will help</w:t>
      </w:r>
      <w:r w:rsidR="00C746DC">
        <w:rPr>
          <w:rFonts w:cs="Arial"/>
          <w:szCs w:val="24"/>
          <w:lang w:val="en-US"/>
        </w:rPr>
        <w:t>:</w:t>
      </w:r>
    </w:p>
    <w:p w:rsidR="00495F6B" w:rsidRDefault="00495F6B" w:rsidP="00C746DC">
      <w:pPr>
        <w:pStyle w:val="ListParagraph"/>
        <w:numPr>
          <w:ilvl w:val="0"/>
          <w:numId w:val="33"/>
        </w:numPr>
        <w:shd w:val="clear" w:color="auto" w:fill="FFFFFF"/>
        <w:spacing w:before="100" w:beforeAutospacing="1" w:after="360"/>
        <w:rPr>
          <w:rFonts w:cs="Arial"/>
          <w:szCs w:val="24"/>
          <w:lang w:val="en-US"/>
        </w:rPr>
      </w:pPr>
      <w:r w:rsidRPr="00C746DC">
        <w:rPr>
          <w:rFonts w:cs="Arial"/>
          <w:szCs w:val="24"/>
          <w:lang w:val="en-US"/>
        </w:rPr>
        <w:t>give communities a greater say in understanding and addressing their local health and social care needs.</w:t>
      </w:r>
    </w:p>
    <w:p w:rsidR="00C746DC" w:rsidRDefault="00C746DC" w:rsidP="00C746DC">
      <w:pPr>
        <w:pStyle w:val="ListParagraph"/>
        <w:numPr>
          <w:ilvl w:val="0"/>
          <w:numId w:val="33"/>
        </w:numPr>
        <w:shd w:val="clear" w:color="auto" w:fill="FFFFFF"/>
        <w:spacing w:before="100" w:beforeAutospacing="1" w:after="360"/>
        <w:rPr>
          <w:rFonts w:cs="Arial"/>
          <w:szCs w:val="24"/>
          <w:lang w:val="en-US"/>
        </w:rPr>
      </w:pPr>
      <w:r>
        <w:rPr>
          <w:rFonts w:cs="Arial"/>
          <w:szCs w:val="24"/>
          <w:lang w:val="en-US"/>
        </w:rPr>
        <w:t>secure better outcomes for the population, better quality of care for patients and care users and better value for the taxpayer.</w:t>
      </w:r>
    </w:p>
    <w:p w:rsidR="00C746DC" w:rsidRPr="00C746DC" w:rsidRDefault="00C746DC" w:rsidP="00C746DC">
      <w:pPr>
        <w:pStyle w:val="ListParagraph"/>
        <w:numPr>
          <w:ilvl w:val="0"/>
          <w:numId w:val="33"/>
        </w:numPr>
        <w:shd w:val="clear" w:color="auto" w:fill="FFFFFF"/>
        <w:spacing w:before="100" w:beforeAutospacing="1" w:after="360"/>
        <w:rPr>
          <w:rFonts w:cs="Arial"/>
          <w:szCs w:val="24"/>
          <w:lang w:val="en-US"/>
        </w:rPr>
      </w:pPr>
      <w:r>
        <w:rPr>
          <w:rFonts w:cs="Arial"/>
          <w:szCs w:val="24"/>
          <w:lang w:val="en-US"/>
        </w:rPr>
        <w:t>be the key partnership for improving and promoting the health and wellbeing of residents.  Its focus will be on securing the best possible health outcomes for all people.</w:t>
      </w:r>
    </w:p>
    <w:p w:rsidR="00495F6B" w:rsidRPr="00495F6B" w:rsidRDefault="00495F6B" w:rsidP="00495F6B">
      <w:pPr>
        <w:shd w:val="clear" w:color="auto" w:fill="FFFFFF"/>
        <w:spacing w:before="100" w:beforeAutospacing="1" w:after="360"/>
        <w:rPr>
          <w:rFonts w:cs="Arial"/>
          <w:szCs w:val="24"/>
          <w:lang w:val="en-US"/>
        </w:rPr>
      </w:pPr>
      <w:r w:rsidRPr="00495F6B">
        <w:rPr>
          <w:rStyle w:val="Strong"/>
          <w:rFonts w:cs="Arial"/>
          <w:szCs w:val="24"/>
          <w:lang w:val="en-US"/>
        </w:rPr>
        <w:t>What will they do?</w:t>
      </w:r>
    </w:p>
    <w:p w:rsidR="00495F6B" w:rsidRDefault="00495F6B" w:rsidP="00495F6B">
      <w:pPr>
        <w:pStyle w:val="ListParagraph"/>
        <w:numPr>
          <w:ilvl w:val="0"/>
          <w:numId w:val="29"/>
        </w:numPr>
        <w:shd w:val="clear" w:color="auto" w:fill="FFFFFF"/>
        <w:spacing w:before="100" w:beforeAutospacing="1" w:after="100" w:afterAutospacing="1"/>
        <w:rPr>
          <w:rFonts w:cs="Arial"/>
          <w:szCs w:val="24"/>
          <w:lang w:val="en-US"/>
        </w:rPr>
      </w:pPr>
      <w:r w:rsidRPr="00495F6B">
        <w:rPr>
          <w:rFonts w:cs="Arial"/>
          <w:szCs w:val="24"/>
          <w:lang w:val="en-US"/>
        </w:rPr>
        <w:t>Health and wellbeing boards will have strategic influence over commissioning decisions across health, public health and social care.</w:t>
      </w:r>
    </w:p>
    <w:p w:rsidR="00495F6B" w:rsidRDefault="00495F6B" w:rsidP="00495F6B">
      <w:pPr>
        <w:pStyle w:val="ListParagraph"/>
        <w:numPr>
          <w:ilvl w:val="0"/>
          <w:numId w:val="29"/>
        </w:numPr>
        <w:shd w:val="clear" w:color="auto" w:fill="FFFFFF"/>
        <w:spacing w:before="100" w:beforeAutospacing="1" w:after="100" w:afterAutospacing="1"/>
        <w:rPr>
          <w:rFonts w:cs="Arial"/>
          <w:szCs w:val="24"/>
          <w:lang w:val="en-US"/>
        </w:rPr>
      </w:pPr>
      <w:r w:rsidRPr="00495F6B">
        <w:rPr>
          <w:rFonts w:cs="Arial"/>
          <w:szCs w:val="24"/>
          <w:lang w:val="en-US"/>
        </w:rPr>
        <w:t>Boards will strengthen democratic legitimacy by involving democratically elected representatives and patient representatives in commissioning decisions alongside commissioners across health and social care. The boards will also provide a forum for challenge, discussion, and the involvement of local people.</w:t>
      </w:r>
    </w:p>
    <w:p w:rsidR="00495F6B" w:rsidRDefault="00495F6B" w:rsidP="00495F6B">
      <w:pPr>
        <w:pStyle w:val="ListParagraph"/>
        <w:numPr>
          <w:ilvl w:val="0"/>
          <w:numId w:val="29"/>
        </w:numPr>
        <w:shd w:val="clear" w:color="auto" w:fill="FFFFFF"/>
        <w:spacing w:before="100" w:beforeAutospacing="1" w:after="100" w:afterAutospacing="1"/>
        <w:rPr>
          <w:rFonts w:cs="Arial"/>
          <w:szCs w:val="24"/>
          <w:lang w:val="en-US"/>
        </w:rPr>
      </w:pPr>
      <w:r w:rsidRPr="00495F6B">
        <w:rPr>
          <w:rFonts w:cs="Arial"/>
          <w:szCs w:val="24"/>
          <w:lang w:val="en-US"/>
        </w:rPr>
        <w:t>Boards will bring together clinical commissioning groups and councils to develop a shared understanding of the health and wellbeing needs of the community. They will undertake the Joint Strategic Needs Assessment (JSNA) and develop a joint strategy for how these needs can be best addressed. This will include recommendations for joint commissioning and integrating services across health and care.</w:t>
      </w:r>
    </w:p>
    <w:p w:rsidR="00495F6B" w:rsidRPr="00495F6B" w:rsidRDefault="00495F6B" w:rsidP="00495F6B">
      <w:pPr>
        <w:pStyle w:val="ListParagraph"/>
        <w:numPr>
          <w:ilvl w:val="0"/>
          <w:numId w:val="29"/>
        </w:numPr>
        <w:shd w:val="clear" w:color="auto" w:fill="FFFFFF"/>
        <w:spacing w:before="100" w:beforeAutospacing="1" w:after="100" w:afterAutospacing="1"/>
        <w:ind w:left="714" w:hanging="357"/>
        <w:rPr>
          <w:rFonts w:cs="Arial"/>
          <w:szCs w:val="24"/>
          <w:lang w:val="en-US"/>
        </w:rPr>
      </w:pPr>
      <w:r w:rsidRPr="00495F6B">
        <w:rPr>
          <w:rFonts w:cs="Arial"/>
          <w:szCs w:val="24"/>
          <w:lang w:val="en-US"/>
        </w:rPr>
        <w:t>Through undertaking the JSNA, the board will drive local commissioning of health care, social care and public health and create a more effective and responsive local health and care system. Other services that impact on health and wellbeing such as housing and education provision will also be addressed.</w:t>
      </w:r>
    </w:p>
    <w:p w:rsidR="009E3D0E" w:rsidRDefault="009E3D0E" w:rsidP="009E3D0E">
      <w:pPr>
        <w:rPr>
          <w:rFonts w:cs="Arial"/>
          <w:b/>
          <w:szCs w:val="24"/>
        </w:rPr>
      </w:pPr>
      <w:r>
        <w:rPr>
          <w:rFonts w:cs="Arial"/>
          <w:b/>
          <w:szCs w:val="24"/>
        </w:rPr>
        <w:t>Timetable for Implementation</w:t>
      </w:r>
    </w:p>
    <w:p w:rsidR="009E3D0E" w:rsidRDefault="009E3D0E" w:rsidP="009E3D0E">
      <w:pPr>
        <w:rPr>
          <w:rFonts w:cs="Arial"/>
          <w:szCs w:val="24"/>
        </w:rPr>
      </w:pPr>
    </w:p>
    <w:p w:rsidR="009E3D0E" w:rsidRPr="00E1272E" w:rsidRDefault="00400D8B" w:rsidP="009E3D0E">
      <w:pPr>
        <w:rPr>
          <w:rFonts w:cstheme="minorBidi"/>
          <w:szCs w:val="22"/>
        </w:rPr>
      </w:pPr>
      <w:r>
        <w:t>A Shadow Health and Wellbeing</w:t>
      </w:r>
      <w:r w:rsidR="00E1272E">
        <w:t xml:space="preserve"> Board has been operational since January 2012, the Health and Wellbeing Board must be established by April 2013</w:t>
      </w:r>
      <w:r w:rsidR="00E1272E">
        <w:rPr>
          <w:rFonts w:cstheme="minorBidi"/>
          <w:szCs w:val="22"/>
        </w:rPr>
        <w:t>.  It is therefore proposed that the Lancashire Health and Wellbeing Board be established, effective from 1 April 2013.</w:t>
      </w:r>
    </w:p>
    <w:p w:rsidR="00400D8B" w:rsidRDefault="00400D8B" w:rsidP="009E3D0E">
      <w:pPr>
        <w:rPr>
          <w:rFonts w:cs="Arial"/>
          <w:szCs w:val="24"/>
        </w:rPr>
      </w:pPr>
    </w:p>
    <w:p w:rsidR="009E3D0E" w:rsidRDefault="00A539CE" w:rsidP="009E3D0E">
      <w:pPr>
        <w:rPr>
          <w:rFonts w:cs="Arial"/>
          <w:b/>
          <w:szCs w:val="24"/>
        </w:rPr>
      </w:pPr>
      <w:r>
        <w:rPr>
          <w:rFonts w:cs="Arial"/>
          <w:b/>
          <w:szCs w:val="24"/>
        </w:rPr>
        <w:t xml:space="preserve">Make up, </w:t>
      </w:r>
      <w:r w:rsidR="009E3D0E">
        <w:rPr>
          <w:rFonts w:cs="Arial"/>
          <w:b/>
          <w:szCs w:val="24"/>
        </w:rPr>
        <w:t>Terms of Reference, Arrangements and Roles and Responsibilities</w:t>
      </w:r>
    </w:p>
    <w:p w:rsidR="009E3D0E" w:rsidRDefault="009E3D0E" w:rsidP="009E3D0E">
      <w:pPr>
        <w:rPr>
          <w:rFonts w:cs="Arial"/>
          <w:szCs w:val="24"/>
        </w:rPr>
      </w:pPr>
    </w:p>
    <w:p w:rsidR="009E3D0E" w:rsidRDefault="009E3D0E" w:rsidP="009E3D0E">
      <w:pPr>
        <w:rPr>
          <w:rFonts w:cs="Arial"/>
          <w:szCs w:val="24"/>
        </w:rPr>
      </w:pPr>
      <w:r>
        <w:rPr>
          <w:rFonts w:cs="Arial"/>
          <w:szCs w:val="24"/>
        </w:rPr>
        <w:t>Local Authorities are also asked to agree the Terms of Reference, Arrangements, and Ro</w:t>
      </w:r>
      <w:r w:rsidR="00495F6B">
        <w:rPr>
          <w:rFonts w:cs="Arial"/>
          <w:szCs w:val="24"/>
        </w:rPr>
        <w:t xml:space="preserve">les and Responsibilities of their respective Health and Wellbeing </w:t>
      </w:r>
      <w:r w:rsidR="00400D8B">
        <w:rPr>
          <w:rFonts w:cs="Arial"/>
          <w:szCs w:val="24"/>
        </w:rPr>
        <w:t>Board</w:t>
      </w:r>
      <w:r>
        <w:rPr>
          <w:rFonts w:cs="Arial"/>
          <w:szCs w:val="24"/>
        </w:rPr>
        <w:t xml:space="preserve">, which are prescribed in legislation and can be supplemented for local operational needs. </w:t>
      </w:r>
    </w:p>
    <w:p w:rsidR="009E3D0E" w:rsidRDefault="00C04EE5" w:rsidP="009E3D0E">
      <w:pPr>
        <w:rPr>
          <w:rFonts w:cs="Arial"/>
          <w:szCs w:val="24"/>
        </w:rPr>
      </w:pPr>
      <w:r>
        <w:rPr>
          <w:rFonts w:cs="Arial"/>
          <w:szCs w:val="24"/>
        </w:rPr>
        <w:lastRenderedPageBreak/>
        <w:br/>
        <w:t>The Health and Social Care Act 2012 sets a core membership that Health and Wellbeing Boards must include:</w:t>
      </w:r>
    </w:p>
    <w:p w:rsidR="00C04EE5" w:rsidRDefault="00C04EE5" w:rsidP="009E3D0E">
      <w:pPr>
        <w:rPr>
          <w:rFonts w:cs="Arial"/>
          <w:szCs w:val="24"/>
        </w:rPr>
      </w:pPr>
    </w:p>
    <w:p w:rsidR="00406307" w:rsidRDefault="00C04EE5" w:rsidP="00406307">
      <w:pPr>
        <w:pStyle w:val="ListParagraph"/>
        <w:numPr>
          <w:ilvl w:val="0"/>
          <w:numId w:val="31"/>
        </w:numPr>
        <w:rPr>
          <w:rFonts w:cs="Arial"/>
          <w:szCs w:val="24"/>
        </w:rPr>
      </w:pPr>
      <w:r>
        <w:rPr>
          <w:rFonts w:cs="Arial"/>
          <w:szCs w:val="24"/>
        </w:rPr>
        <w:t>At least one councillor from the relevant council (in this instance Lancashire County</w:t>
      </w:r>
    </w:p>
    <w:p w:rsidR="00406307" w:rsidRDefault="00C04EE5" w:rsidP="00406307">
      <w:pPr>
        <w:pStyle w:val="ListParagraph"/>
        <w:numPr>
          <w:ilvl w:val="0"/>
          <w:numId w:val="31"/>
        </w:numPr>
        <w:rPr>
          <w:rFonts w:cs="Arial"/>
          <w:szCs w:val="24"/>
        </w:rPr>
      </w:pPr>
      <w:r>
        <w:rPr>
          <w:rFonts w:cs="Arial"/>
          <w:szCs w:val="24"/>
        </w:rPr>
        <w:t>The Director of Adult Social Services</w:t>
      </w:r>
    </w:p>
    <w:p w:rsidR="00406307" w:rsidRDefault="00C04EE5" w:rsidP="00406307">
      <w:pPr>
        <w:pStyle w:val="ListParagraph"/>
        <w:numPr>
          <w:ilvl w:val="0"/>
          <w:numId w:val="31"/>
        </w:numPr>
        <w:rPr>
          <w:rFonts w:cs="Arial"/>
          <w:szCs w:val="24"/>
        </w:rPr>
      </w:pPr>
      <w:r>
        <w:rPr>
          <w:rFonts w:cs="Arial"/>
          <w:szCs w:val="24"/>
        </w:rPr>
        <w:t>The Director of Children's Services</w:t>
      </w:r>
    </w:p>
    <w:p w:rsidR="00406307" w:rsidRDefault="00C04EE5" w:rsidP="00406307">
      <w:pPr>
        <w:pStyle w:val="ListParagraph"/>
        <w:numPr>
          <w:ilvl w:val="0"/>
          <w:numId w:val="31"/>
        </w:numPr>
        <w:rPr>
          <w:rFonts w:cs="Arial"/>
          <w:szCs w:val="24"/>
        </w:rPr>
      </w:pPr>
      <w:r>
        <w:rPr>
          <w:rFonts w:cs="Arial"/>
          <w:szCs w:val="24"/>
        </w:rPr>
        <w:t>The Director of Public Health</w:t>
      </w:r>
    </w:p>
    <w:p w:rsidR="00406307" w:rsidRDefault="00C04EE5" w:rsidP="00406307">
      <w:pPr>
        <w:pStyle w:val="ListParagraph"/>
        <w:numPr>
          <w:ilvl w:val="0"/>
          <w:numId w:val="31"/>
        </w:numPr>
        <w:rPr>
          <w:rFonts w:cs="Arial"/>
          <w:szCs w:val="24"/>
        </w:rPr>
      </w:pPr>
      <w:r>
        <w:rPr>
          <w:rFonts w:cs="Arial"/>
          <w:szCs w:val="24"/>
        </w:rPr>
        <w:t>A representative of the loc</w:t>
      </w:r>
      <w:r w:rsidR="00FB41E0">
        <w:rPr>
          <w:rFonts w:cs="Arial"/>
          <w:szCs w:val="24"/>
        </w:rPr>
        <w:t>al Healthwatch organis</w:t>
      </w:r>
      <w:r>
        <w:rPr>
          <w:rFonts w:cs="Arial"/>
          <w:szCs w:val="24"/>
        </w:rPr>
        <w:t>ation (which will come into being on a statutory footing on 1 April 2013)</w:t>
      </w:r>
    </w:p>
    <w:p w:rsidR="00406307" w:rsidRDefault="00C04EE5" w:rsidP="00406307">
      <w:pPr>
        <w:pStyle w:val="ListParagraph"/>
        <w:numPr>
          <w:ilvl w:val="0"/>
          <w:numId w:val="31"/>
        </w:numPr>
        <w:rPr>
          <w:rFonts w:cs="Arial"/>
          <w:szCs w:val="24"/>
        </w:rPr>
      </w:pPr>
      <w:r>
        <w:rPr>
          <w:rFonts w:cs="Arial"/>
          <w:szCs w:val="24"/>
        </w:rPr>
        <w:t>A representative of each relevant Clinical Commissioning Group (CCG)</w:t>
      </w:r>
    </w:p>
    <w:p w:rsidR="00406307" w:rsidRDefault="00C04EE5" w:rsidP="00406307">
      <w:pPr>
        <w:pStyle w:val="ListParagraph"/>
        <w:numPr>
          <w:ilvl w:val="0"/>
          <w:numId w:val="31"/>
        </w:numPr>
        <w:rPr>
          <w:rFonts w:cs="Arial"/>
          <w:szCs w:val="24"/>
        </w:rPr>
      </w:pPr>
      <w:r>
        <w:rPr>
          <w:rFonts w:cs="Arial"/>
          <w:szCs w:val="24"/>
        </w:rPr>
        <w:t>Any</w:t>
      </w:r>
      <w:r w:rsidR="00FB41E0">
        <w:rPr>
          <w:rFonts w:cs="Arial"/>
          <w:szCs w:val="24"/>
        </w:rPr>
        <w:t xml:space="preserve"> other members considered appro</w:t>
      </w:r>
      <w:r>
        <w:rPr>
          <w:rFonts w:cs="Arial"/>
          <w:szCs w:val="24"/>
        </w:rPr>
        <w:t>pr</w:t>
      </w:r>
      <w:r w:rsidR="00FB41E0">
        <w:rPr>
          <w:rFonts w:cs="Arial"/>
          <w:szCs w:val="24"/>
        </w:rPr>
        <w:t>i</w:t>
      </w:r>
      <w:r>
        <w:rPr>
          <w:rFonts w:cs="Arial"/>
          <w:szCs w:val="24"/>
        </w:rPr>
        <w:t>ate by the Council (in this instance Lancashire County Council)</w:t>
      </w:r>
    </w:p>
    <w:p w:rsidR="00FB41E0" w:rsidRDefault="00FB41E0" w:rsidP="00FB41E0">
      <w:pPr>
        <w:rPr>
          <w:rFonts w:cs="Arial"/>
          <w:szCs w:val="24"/>
        </w:rPr>
      </w:pPr>
    </w:p>
    <w:p w:rsidR="00FB41E0" w:rsidRPr="00FB41E0" w:rsidRDefault="00FB41E0" w:rsidP="00FB41E0">
      <w:pPr>
        <w:rPr>
          <w:rFonts w:cs="Arial"/>
          <w:szCs w:val="24"/>
        </w:rPr>
      </w:pPr>
      <w:r>
        <w:rPr>
          <w:rFonts w:cs="Arial"/>
          <w:szCs w:val="24"/>
        </w:rPr>
        <w:t>The act enables the County Council to include other members as it thinks appropriate</w:t>
      </w:r>
      <w:r w:rsidR="00753800">
        <w:rPr>
          <w:rFonts w:cs="Arial"/>
          <w:szCs w:val="24"/>
        </w:rPr>
        <w:t xml:space="preserve">.  It is recommended </w:t>
      </w:r>
      <w:r w:rsidR="00790ECB">
        <w:rPr>
          <w:rFonts w:cs="Arial"/>
          <w:szCs w:val="24"/>
        </w:rPr>
        <w:t>that the exis</w:t>
      </w:r>
      <w:r w:rsidR="00753800">
        <w:rPr>
          <w:rFonts w:cs="Arial"/>
          <w:szCs w:val="24"/>
        </w:rPr>
        <w:t>ting membership of the Shadow Health and Wellbeing Board for Lancashire be formally included in the full Board membership with equal voting rights.  Any subsequent changes to the membership will</w:t>
      </w:r>
      <w:r>
        <w:rPr>
          <w:rFonts w:cs="Arial"/>
          <w:szCs w:val="24"/>
        </w:rPr>
        <w:t xml:space="preserve"> require the authority to consult the </w:t>
      </w:r>
      <w:r w:rsidR="00753800">
        <w:rPr>
          <w:rFonts w:cs="Arial"/>
          <w:szCs w:val="24"/>
        </w:rPr>
        <w:t>H</w:t>
      </w:r>
      <w:r>
        <w:rPr>
          <w:rFonts w:cs="Arial"/>
          <w:szCs w:val="24"/>
        </w:rPr>
        <w:t xml:space="preserve">ealth and </w:t>
      </w:r>
      <w:r w:rsidR="00753800">
        <w:rPr>
          <w:rFonts w:cs="Arial"/>
          <w:szCs w:val="24"/>
        </w:rPr>
        <w:t>W</w:t>
      </w:r>
      <w:r>
        <w:rPr>
          <w:rFonts w:cs="Arial"/>
          <w:szCs w:val="24"/>
        </w:rPr>
        <w:t xml:space="preserve">ellbeing </w:t>
      </w:r>
      <w:r w:rsidR="00753800">
        <w:rPr>
          <w:rFonts w:cs="Arial"/>
          <w:szCs w:val="24"/>
        </w:rPr>
        <w:t>B</w:t>
      </w:r>
      <w:r>
        <w:rPr>
          <w:rFonts w:cs="Arial"/>
          <w:szCs w:val="24"/>
        </w:rPr>
        <w:t xml:space="preserve">oard if doing so any time after </w:t>
      </w:r>
      <w:r w:rsidR="00753800">
        <w:rPr>
          <w:rFonts w:cs="Arial"/>
          <w:szCs w:val="24"/>
        </w:rPr>
        <w:t>the</w:t>
      </w:r>
      <w:r>
        <w:rPr>
          <w:rFonts w:cs="Arial"/>
          <w:szCs w:val="24"/>
        </w:rPr>
        <w:t xml:space="preserve"> </w:t>
      </w:r>
      <w:r w:rsidR="00753800">
        <w:rPr>
          <w:rFonts w:cs="Arial"/>
          <w:szCs w:val="24"/>
        </w:rPr>
        <w:t>B</w:t>
      </w:r>
      <w:r>
        <w:rPr>
          <w:rFonts w:cs="Arial"/>
          <w:szCs w:val="24"/>
        </w:rPr>
        <w:t>oard is established.</w:t>
      </w:r>
    </w:p>
    <w:p w:rsidR="00C04EE5" w:rsidRDefault="00C04EE5" w:rsidP="00C04EE5">
      <w:pPr>
        <w:rPr>
          <w:rFonts w:cs="Arial"/>
          <w:szCs w:val="24"/>
        </w:rPr>
      </w:pPr>
    </w:p>
    <w:p w:rsidR="00C20D28" w:rsidRDefault="00C746DC" w:rsidP="00753800">
      <w:pPr>
        <w:autoSpaceDE w:val="0"/>
        <w:autoSpaceDN w:val="0"/>
        <w:adjustRightInd w:val="0"/>
        <w:rPr>
          <w:rFonts w:ascii="ArialMT" w:hAnsi="ArialMT" w:cs="ArialMT"/>
          <w:szCs w:val="24"/>
        </w:rPr>
      </w:pPr>
      <w:r>
        <w:rPr>
          <w:rFonts w:ascii="ArialMT" w:hAnsi="ArialMT" w:cs="ArialMT"/>
          <w:szCs w:val="24"/>
        </w:rPr>
        <w:t xml:space="preserve">All </w:t>
      </w:r>
      <w:r w:rsidR="00753800">
        <w:rPr>
          <w:rFonts w:ascii="ArialMT" w:hAnsi="ArialMT" w:cs="ArialMT"/>
          <w:szCs w:val="24"/>
        </w:rPr>
        <w:t>Members of the Board will be bound by the County C</w:t>
      </w:r>
      <w:r w:rsidR="00753800" w:rsidRPr="006F6218">
        <w:rPr>
          <w:rFonts w:ascii="ArialMT" w:hAnsi="ArialMT" w:cs="ArialMT"/>
          <w:szCs w:val="24"/>
        </w:rPr>
        <w:t>ouncil’s code of conduct and requirements</w:t>
      </w:r>
      <w:r w:rsidR="00753800">
        <w:rPr>
          <w:rFonts w:ascii="ArialMT" w:hAnsi="ArialMT" w:cs="ArialMT"/>
          <w:szCs w:val="24"/>
        </w:rPr>
        <w:t xml:space="preserve"> </w:t>
      </w:r>
      <w:r w:rsidR="00753800" w:rsidRPr="006F6218">
        <w:rPr>
          <w:rFonts w:ascii="ArialMT" w:hAnsi="ArialMT" w:cs="ArialMT"/>
          <w:szCs w:val="24"/>
        </w:rPr>
        <w:t>on Disclosable Pecuniary Interests</w:t>
      </w:r>
      <w:r w:rsidR="00753800">
        <w:rPr>
          <w:rFonts w:ascii="ArialMT" w:hAnsi="ArialMT" w:cs="ArialMT"/>
          <w:szCs w:val="24"/>
        </w:rPr>
        <w:t>.</w:t>
      </w:r>
      <w:r w:rsidR="00C20D28">
        <w:rPr>
          <w:rFonts w:ascii="ArialMT" w:hAnsi="ArialMT" w:cs="ArialMT"/>
          <w:szCs w:val="24"/>
        </w:rPr>
        <w:t xml:space="preserve">  Further information on the code of conduct and Disclosable Pecuniary Interests can be accessed </w:t>
      </w:r>
      <w:r w:rsidR="003C7BB3" w:rsidRPr="003C7BB3">
        <w:t>here</w:t>
      </w:r>
      <w:r w:rsidR="00C20D28">
        <w:rPr>
          <w:rFonts w:ascii="ArialMT" w:hAnsi="ArialMT" w:cs="ArialMT"/>
          <w:szCs w:val="24"/>
        </w:rPr>
        <w:t xml:space="preserve">: </w:t>
      </w:r>
      <w:hyperlink r:id="rId9" w:history="1">
        <w:r w:rsidR="00C20D28" w:rsidRPr="00A332F1">
          <w:rPr>
            <w:rStyle w:val="Hyperlink"/>
            <w:rFonts w:ascii="ArialMT" w:hAnsi="ArialMT" w:cs="ArialMT"/>
            <w:szCs w:val="24"/>
          </w:rPr>
          <w:t>http://www.lancashire.gov.uk/corporate/web/?Constitution/34193</w:t>
        </w:r>
      </w:hyperlink>
      <w:r w:rsidR="00C20D28">
        <w:rPr>
          <w:rFonts w:ascii="ArialMT" w:hAnsi="ArialMT" w:cs="ArialMT"/>
          <w:szCs w:val="24"/>
        </w:rPr>
        <w:t xml:space="preserve"> .</w:t>
      </w:r>
      <w:r w:rsidR="00753800">
        <w:rPr>
          <w:rFonts w:ascii="ArialMT" w:hAnsi="ArialMT" w:cs="ArialMT"/>
          <w:szCs w:val="24"/>
        </w:rPr>
        <w:t xml:space="preserve">  </w:t>
      </w:r>
    </w:p>
    <w:p w:rsidR="00C20D28" w:rsidRDefault="00C20D28" w:rsidP="00753800">
      <w:pPr>
        <w:autoSpaceDE w:val="0"/>
        <w:autoSpaceDN w:val="0"/>
        <w:adjustRightInd w:val="0"/>
        <w:rPr>
          <w:rFonts w:ascii="ArialMT" w:hAnsi="ArialMT" w:cs="ArialMT"/>
          <w:szCs w:val="24"/>
        </w:rPr>
      </w:pPr>
    </w:p>
    <w:p w:rsidR="00753800" w:rsidRPr="006F6218" w:rsidRDefault="00753800" w:rsidP="00753800">
      <w:pPr>
        <w:autoSpaceDE w:val="0"/>
        <w:autoSpaceDN w:val="0"/>
        <w:adjustRightInd w:val="0"/>
        <w:rPr>
          <w:rFonts w:ascii="ArialMT" w:hAnsi="ArialMT" w:cs="ArialMT"/>
          <w:szCs w:val="24"/>
        </w:rPr>
      </w:pPr>
      <w:r w:rsidRPr="006F6218">
        <w:rPr>
          <w:rFonts w:ascii="ArialMT" w:hAnsi="ArialMT" w:cs="ArialMT"/>
          <w:szCs w:val="24"/>
        </w:rPr>
        <w:t>Non-councillor</w:t>
      </w:r>
      <w:r>
        <w:rPr>
          <w:rFonts w:ascii="ArialMT" w:hAnsi="ArialMT" w:cs="ArialMT"/>
          <w:szCs w:val="24"/>
        </w:rPr>
        <w:t xml:space="preserve"> </w:t>
      </w:r>
      <w:r w:rsidRPr="006F6218">
        <w:rPr>
          <w:rFonts w:ascii="ArialMT" w:hAnsi="ArialMT" w:cs="ArialMT"/>
          <w:szCs w:val="24"/>
        </w:rPr>
        <w:t xml:space="preserve">members of </w:t>
      </w:r>
      <w:r>
        <w:rPr>
          <w:rFonts w:ascii="ArialMT" w:hAnsi="ArialMT" w:cs="ArialMT"/>
          <w:szCs w:val="24"/>
        </w:rPr>
        <w:t>the Board</w:t>
      </w:r>
      <w:r w:rsidRPr="006F6218">
        <w:rPr>
          <w:rFonts w:ascii="ArialMT" w:hAnsi="ArialMT" w:cs="ArialMT"/>
          <w:szCs w:val="24"/>
        </w:rPr>
        <w:t xml:space="preserve"> may be bound by</w:t>
      </w:r>
      <w:r>
        <w:rPr>
          <w:rFonts w:ascii="ArialMT" w:hAnsi="ArialMT" w:cs="ArialMT"/>
          <w:szCs w:val="24"/>
        </w:rPr>
        <w:t xml:space="preserve"> </w:t>
      </w:r>
      <w:r w:rsidRPr="006F6218">
        <w:rPr>
          <w:rFonts w:ascii="ArialMT" w:hAnsi="ArialMT" w:cs="ArialMT"/>
          <w:szCs w:val="24"/>
        </w:rPr>
        <w:t>other codes of conduct and professional</w:t>
      </w:r>
      <w:r>
        <w:rPr>
          <w:rFonts w:ascii="ArialMT" w:hAnsi="ArialMT" w:cs="ArialMT"/>
          <w:szCs w:val="24"/>
        </w:rPr>
        <w:t xml:space="preserve"> </w:t>
      </w:r>
      <w:r w:rsidRPr="006F6218">
        <w:rPr>
          <w:rFonts w:ascii="ArialMT" w:hAnsi="ArialMT" w:cs="ArialMT"/>
          <w:szCs w:val="24"/>
        </w:rPr>
        <w:t>standards. For example, the General Medical</w:t>
      </w:r>
      <w:r>
        <w:rPr>
          <w:rFonts w:ascii="ArialMT" w:hAnsi="ArialMT" w:cs="ArialMT"/>
          <w:szCs w:val="24"/>
        </w:rPr>
        <w:t xml:space="preserve"> </w:t>
      </w:r>
      <w:r w:rsidRPr="006F6218">
        <w:rPr>
          <w:rFonts w:ascii="ArialMT" w:hAnsi="ArialMT" w:cs="ArialMT"/>
          <w:szCs w:val="24"/>
        </w:rPr>
        <w:t>Council (GMC) provides advice for members</w:t>
      </w:r>
      <w:r>
        <w:rPr>
          <w:rFonts w:ascii="ArialMT" w:hAnsi="ArialMT" w:cs="ArialMT"/>
          <w:szCs w:val="24"/>
        </w:rPr>
        <w:t xml:space="preserve"> </w:t>
      </w:r>
      <w:r w:rsidRPr="006F6218">
        <w:rPr>
          <w:rFonts w:ascii="ArialMT" w:hAnsi="ArialMT" w:cs="ArialMT"/>
          <w:szCs w:val="24"/>
        </w:rPr>
        <w:t>of the medical profession on standards</w:t>
      </w:r>
      <w:r>
        <w:rPr>
          <w:rFonts w:ascii="ArialMT" w:hAnsi="ArialMT" w:cs="ArialMT"/>
          <w:szCs w:val="24"/>
        </w:rPr>
        <w:t xml:space="preserve"> </w:t>
      </w:r>
      <w:r w:rsidRPr="006F6218">
        <w:rPr>
          <w:rFonts w:ascii="ArialMT" w:hAnsi="ArialMT" w:cs="ArialMT"/>
          <w:szCs w:val="24"/>
        </w:rPr>
        <w:t>of professional conduct for doctors and</w:t>
      </w:r>
      <w:r>
        <w:rPr>
          <w:rFonts w:ascii="ArialMT" w:hAnsi="ArialMT" w:cs="ArialMT"/>
          <w:szCs w:val="24"/>
        </w:rPr>
        <w:t xml:space="preserve"> </w:t>
      </w:r>
      <w:r w:rsidRPr="006F6218">
        <w:rPr>
          <w:rFonts w:ascii="ArialMT" w:hAnsi="ArialMT" w:cs="ArialMT"/>
          <w:szCs w:val="24"/>
        </w:rPr>
        <w:t>the Health and Care Professions Council</w:t>
      </w:r>
      <w:r>
        <w:rPr>
          <w:rFonts w:ascii="ArialMT" w:hAnsi="ArialMT" w:cs="ArialMT"/>
          <w:szCs w:val="24"/>
        </w:rPr>
        <w:t xml:space="preserve"> (HCPC) </w:t>
      </w:r>
      <w:r w:rsidRPr="006F6218">
        <w:rPr>
          <w:rFonts w:ascii="ArialMT" w:hAnsi="ArialMT" w:cs="ArialMT"/>
          <w:szCs w:val="24"/>
        </w:rPr>
        <w:t>sets standards for members of the</w:t>
      </w:r>
      <w:r>
        <w:rPr>
          <w:rFonts w:ascii="ArialMT" w:hAnsi="ArialMT" w:cs="ArialMT"/>
          <w:szCs w:val="24"/>
        </w:rPr>
        <w:t xml:space="preserve"> </w:t>
      </w:r>
      <w:r w:rsidRPr="006F6218">
        <w:rPr>
          <w:rFonts w:ascii="ArialMT" w:hAnsi="ArialMT" w:cs="ArialMT"/>
          <w:szCs w:val="24"/>
        </w:rPr>
        <w:t>social work profession and of health care</w:t>
      </w:r>
      <w:r>
        <w:rPr>
          <w:rFonts w:ascii="ArialMT" w:hAnsi="ArialMT" w:cs="ArialMT"/>
          <w:szCs w:val="24"/>
        </w:rPr>
        <w:t xml:space="preserve"> </w:t>
      </w:r>
      <w:r w:rsidRPr="006F6218">
        <w:rPr>
          <w:rFonts w:ascii="ArialMT" w:hAnsi="ArialMT" w:cs="ArialMT"/>
          <w:szCs w:val="24"/>
        </w:rPr>
        <w:t>professions.</w:t>
      </w:r>
    </w:p>
    <w:p w:rsidR="00753800" w:rsidRPr="00C04EE5" w:rsidRDefault="00753800" w:rsidP="00C04EE5">
      <w:pPr>
        <w:rPr>
          <w:rFonts w:cs="Arial"/>
          <w:szCs w:val="24"/>
        </w:rPr>
      </w:pPr>
    </w:p>
    <w:p w:rsidR="004E2996" w:rsidRPr="00400D8B" w:rsidRDefault="00495F6B" w:rsidP="00400D8B">
      <w:pPr>
        <w:tabs>
          <w:tab w:val="left" w:pos="0"/>
        </w:tabs>
        <w:rPr>
          <w:rFonts w:cs="Arial"/>
          <w:szCs w:val="24"/>
        </w:rPr>
      </w:pPr>
      <w:r>
        <w:rPr>
          <w:rFonts w:cs="Arial"/>
          <w:szCs w:val="24"/>
        </w:rPr>
        <w:t xml:space="preserve">Attached at Appendix 'A' are </w:t>
      </w:r>
      <w:r w:rsidR="009E3D0E">
        <w:rPr>
          <w:rFonts w:cs="Arial"/>
          <w:szCs w:val="24"/>
        </w:rPr>
        <w:t>the terms of reference</w:t>
      </w:r>
      <w:r w:rsidR="00400D8B">
        <w:rPr>
          <w:rFonts w:cs="Arial"/>
          <w:szCs w:val="24"/>
        </w:rPr>
        <w:t>,</w:t>
      </w:r>
      <w:r w:rsidR="009E3D0E">
        <w:rPr>
          <w:rFonts w:cs="Arial"/>
          <w:szCs w:val="24"/>
        </w:rPr>
        <w:t xml:space="preserve"> draft</w:t>
      </w:r>
      <w:r w:rsidR="00400D8B">
        <w:rPr>
          <w:rFonts w:cs="Arial"/>
          <w:szCs w:val="24"/>
        </w:rPr>
        <w:t xml:space="preserve"> board arrangements </w:t>
      </w:r>
      <w:r w:rsidR="009E3D0E">
        <w:rPr>
          <w:rFonts w:cs="Arial"/>
          <w:szCs w:val="24"/>
        </w:rPr>
        <w:t xml:space="preserve">and draft rules of procedure, for approval by </w:t>
      </w:r>
      <w:r w:rsidR="00246DAF">
        <w:rPr>
          <w:rFonts w:cs="Arial"/>
          <w:szCs w:val="24"/>
        </w:rPr>
        <w:t xml:space="preserve">the </w:t>
      </w:r>
      <w:r w:rsidR="00753800">
        <w:rPr>
          <w:rFonts w:cs="Arial"/>
          <w:szCs w:val="24"/>
        </w:rPr>
        <w:t>Committee</w:t>
      </w:r>
      <w:r w:rsidR="009E3D0E">
        <w:rPr>
          <w:rFonts w:cs="Arial"/>
          <w:szCs w:val="24"/>
        </w:rPr>
        <w:t>.  The documents are based on legislation, guidance and r</w:t>
      </w:r>
      <w:r w:rsidR="00400D8B">
        <w:rPr>
          <w:rFonts w:cs="Arial"/>
          <w:szCs w:val="24"/>
        </w:rPr>
        <w:t>egulations currently available.</w:t>
      </w:r>
      <w:r w:rsidR="00C746DC">
        <w:rPr>
          <w:rFonts w:cs="Arial"/>
          <w:szCs w:val="24"/>
        </w:rPr>
        <w:t xml:space="preserve">  They also re</w:t>
      </w:r>
      <w:r w:rsidR="00790ECB">
        <w:rPr>
          <w:rFonts w:cs="Arial"/>
          <w:szCs w:val="24"/>
        </w:rPr>
        <w:t>f</w:t>
      </w:r>
      <w:r w:rsidR="00C746DC">
        <w:rPr>
          <w:rFonts w:cs="Arial"/>
          <w:szCs w:val="24"/>
        </w:rPr>
        <w:t>lect the current Terms of Reference and Membership of the Shadow Board, so far as they are able to under the new rules.</w:t>
      </w:r>
    </w:p>
    <w:p w:rsidR="009E3D0E" w:rsidRDefault="009E3D0E" w:rsidP="009E3D0E">
      <w:pPr>
        <w:autoSpaceDE w:val="0"/>
        <w:autoSpaceDN w:val="0"/>
        <w:adjustRightInd w:val="0"/>
        <w:spacing w:before="100" w:beforeAutospacing="1" w:after="100" w:afterAutospacing="1"/>
        <w:rPr>
          <w:rFonts w:cs="Arial"/>
          <w:b/>
          <w:szCs w:val="24"/>
        </w:rPr>
      </w:pPr>
      <w:r>
        <w:rPr>
          <w:rFonts w:cs="Arial"/>
          <w:b/>
          <w:szCs w:val="24"/>
        </w:rPr>
        <w:t xml:space="preserve">Frequency of </w:t>
      </w:r>
      <w:r w:rsidR="00E1272E">
        <w:rPr>
          <w:rFonts w:cs="Arial"/>
          <w:b/>
          <w:szCs w:val="24"/>
        </w:rPr>
        <w:t>Board meetings</w:t>
      </w:r>
    </w:p>
    <w:p w:rsidR="009E3D0E" w:rsidRDefault="009E3D0E" w:rsidP="009E3D0E">
      <w:pPr>
        <w:autoSpaceDE w:val="0"/>
        <w:autoSpaceDN w:val="0"/>
        <w:adjustRightInd w:val="0"/>
        <w:spacing w:before="100" w:beforeAutospacing="1" w:after="100" w:afterAutospacing="1"/>
        <w:rPr>
          <w:rFonts w:cs="Arial"/>
          <w:szCs w:val="24"/>
        </w:rPr>
      </w:pPr>
      <w:r>
        <w:rPr>
          <w:rFonts w:cs="Arial"/>
          <w:szCs w:val="24"/>
        </w:rPr>
        <w:t xml:space="preserve">It is expected that that </w:t>
      </w:r>
      <w:r w:rsidR="00400D8B">
        <w:rPr>
          <w:rFonts w:cs="Arial"/>
          <w:szCs w:val="24"/>
        </w:rPr>
        <w:t>the Lancashire Health and Wellbeing Board</w:t>
      </w:r>
      <w:r>
        <w:rPr>
          <w:rFonts w:cs="Arial"/>
          <w:szCs w:val="24"/>
        </w:rPr>
        <w:t xml:space="preserve"> will meet at least four times per year to undertake its statutory functions.  The </w:t>
      </w:r>
      <w:r w:rsidR="00400D8B">
        <w:rPr>
          <w:rFonts w:cs="Arial"/>
          <w:szCs w:val="24"/>
        </w:rPr>
        <w:t>Board</w:t>
      </w:r>
      <w:r>
        <w:rPr>
          <w:rFonts w:cs="Arial"/>
          <w:szCs w:val="24"/>
        </w:rPr>
        <w:t xml:space="preserve"> can determine its own meetings cycle and appoint any sub-committees or task groups</w:t>
      </w:r>
      <w:r w:rsidR="00400D8B">
        <w:rPr>
          <w:rFonts w:cs="Arial"/>
          <w:szCs w:val="24"/>
        </w:rPr>
        <w:t xml:space="preserve"> as it sees fit</w:t>
      </w:r>
      <w:r>
        <w:rPr>
          <w:rFonts w:cs="Arial"/>
          <w:szCs w:val="24"/>
        </w:rPr>
        <w:t xml:space="preserve">.  It is intended that each year the </w:t>
      </w:r>
      <w:r w:rsidR="00400D8B">
        <w:rPr>
          <w:rFonts w:cs="Arial"/>
          <w:szCs w:val="24"/>
        </w:rPr>
        <w:t>Board</w:t>
      </w:r>
      <w:r>
        <w:rPr>
          <w:rFonts w:cs="Arial"/>
          <w:szCs w:val="24"/>
        </w:rPr>
        <w:t xml:space="preserve"> will be appointed for a 12 month period, and appointments confirmed at each respective Annual Meeting in May, to enable any annual adjustment </w:t>
      </w:r>
      <w:r w:rsidR="00400D8B">
        <w:rPr>
          <w:rFonts w:cs="Arial"/>
          <w:szCs w:val="24"/>
        </w:rPr>
        <w:t xml:space="preserve">of the </w:t>
      </w:r>
      <w:r>
        <w:rPr>
          <w:rFonts w:cs="Arial"/>
          <w:szCs w:val="24"/>
        </w:rPr>
        <w:t xml:space="preserve">Panel arising from Council elections in May.  </w:t>
      </w:r>
    </w:p>
    <w:p w:rsidR="009E3D0E" w:rsidRPr="00400D8B" w:rsidRDefault="009E3D0E" w:rsidP="00400D8B">
      <w:pPr>
        <w:autoSpaceDE w:val="0"/>
        <w:autoSpaceDN w:val="0"/>
        <w:adjustRightInd w:val="0"/>
        <w:spacing w:before="100" w:beforeAutospacing="1" w:after="100" w:afterAutospacing="1"/>
        <w:rPr>
          <w:rFonts w:cs="Arial"/>
          <w:szCs w:val="24"/>
        </w:rPr>
      </w:pPr>
      <w:r>
        <w:rPr>
          <w:rFonts w:cs="Arial"/>
          <w:szCs w:val="24"/>
        </w:rPr>
        <w:t xml:space="preserve">It is intended that the first meeting of </w:t>
      </w:r>
      <w:r w:rsidR="00400D8B">
        <w:rPr>
          <w:rFonts w:cs="Arial"/>
          <w:szCs w:val="24"/>
        </w:rPr>
        <w:t>the Lancashire Health and Wellbeing Board</w:t>
      </w:r>
      <w:r>
        <w:rPr>
          <w:rFonts w:cs="Arial"/>
          <w:szCs w:val="24"/>
        </w:rPr>
        <w:t xml:space="preserve"> will be </w:t>
      </w:r>
      <w:r w:rsidR="00400D8B">
        <w:rPr>
          <w:rFonts w:cs="Arial"/>
          <w:szCs w:val="24"/>
        </w:rPr>
        <w:t>held on 25 April 2013.</w:t>
      </w:r>
    </w:p>
    <w:p w:rsidR="00F85C62" w:rsidRPr="00F85C62" w:rsidRDefault="00F85C62" w:rsidP="009E3D0E">
      <w:pPr>
        <w:rPr>
          <w:rFonts w:cs="Arial"/>
          <w:b/>
          <w:szCs w:val="24"/>
        </w:rPr>
      </w:pPr>
      <w:r w:rsidRPr="00F85C62">
        <w:rPr>
          <w:rFonts w:cs="Arial"/>
          <w:b/>
          <w:szCs w:val="24"/>
        </w:rPr>
        <w:lastRenderedPageBreak/>
        <w:t>Overview and Scrutiny</w:t>
      </w:r>
    </w:p>
    <w:p w:rsidR="00F85C62" w:rsidRPr="00F85C62" w:rsidRDefault="00F85C62" w:rsidP="009E3D0E">
      <w:pPr>
        <w:rPr>
          <w:rFonts w:cs="Arial"/>
          <w:szCs w:val="24"/>
        </w:rPr>
      </w:pPr>
    </w:p>
    <w:p w:rsidR="00F85C62" w:rsidRDefault="00F85C62" w:rsidP="009E3D0E">
      <w:pPr>
        <w:rPr>
          <w:rFonts w:cs="Arial"/>
          <w:szCs w:val="24"/>
        </w:rPr>
      </w:pPr>
      <w:r w:rsidRPr="00F85C62">
        <w:rPr>
          <w:rFonts w:cs="Arial"/>
          <w:szCs w:val="24"/>
        </w:rPr>
        <w:t xml:space="preserve">The regulations make a number of changes to </w:t>
      </w:r>
      <w:r>
        <w:rPr>
          <w:rFonts w:cs="Arial"/>
          <w:szCs w:val="24"/>
        </w:rPr>
        <w:t>the rules around Health Overview and Scrutiny.  The power to require the NHS to attend meetings, and reply to requests for information and responses to recommendations made by scrutiny remains. The key changes are:</w:t>
      </w:r>
    </w:p>
    <w:p w:rsidR="00F85C62" w:rsidRDefault="00F85C62" w:rsidP="009E3D0E">
      <w:pPr>
        <w:rPr>
          <w:rFonts w:cs="Arial"/>
          <w:szCs w:val="24"/>
        </w:rPr>
      </w:pPr>
    </w:p>
    <w:p w:rsidR="00F85C62" w:rsidRPr="0020713C" w:rsidRDefault="00F85C62" w:rsidP="0020713C">
      <w:pPr>
        <w:pStyle w:val="ListParagraph"/>
        <w:numPr>
          <w:ilvl w:val="0"/>
          <w:numId w:val="30"/>
        </w:numPr>
        <w:rPr>
          <w:rFonts w:cs="Arial"/>
          <w:szCs w:val="24"/>
        </w:rPr>
      </w:pPr>
      <w:r w:rsidRPr="0020713C">
        <w:rPr>
          <w:rFonts w:cs="Arial"/>
          <w:szCs w:val="24"/>
        </w:rPr>
        <w:t xml:space="preserve">Full council can determine how health scrutiny powers are dispensed – it is no longer a requirement to have a Health Scrutiny committee. This reflects the changes in the Localism Act allowing councils to adopt a committee system, and ensures that </w:t>
      </w:r>
      <w:r w:rsidR="0020713C" w:rsidRPr="0020713C">
        <w:rPr>
          <w:rFonts w:cs="Arial"/>
          <w:szCs w:val="24"/>
        </w:rPr>
        <w:t>these</w:t>
      </w:r>
      <w:r w:rsidRPr="0020713C">
        <w:rPr>
          <w:rFonts w:cs="Arial"/>
          <w:szCs w:val="24"/>
        </w:rPr>
        <w:t xml:space="preserve"> councils which no </w:t>
      </w:r>
      <w:r w:rsidR="0020713C" w:rsidRPr="0020713C">
        <w:rPr>
          <w:rFonts w:cs="Arial"/>
          <w:szCs w:val="24"/>
        </w:rPr>
        <w:t>longer</w:t>
      </w:r>
      <w:r w:rsidRPr="0020713C">
        <w:rPr>
          <w:rFonts w:cs="Arial"/>
          <w:szCs w:val="24"/>
        </w:rPr>
        <w:t xml:space="preserve"> operate any scrutiny function are still able to exercise </w:t>
      </w:r>
      <w:r w:rsidR="0020713C" w:rsidRPr="0020713C">
        <w:rPr>
          <w:rFonts w:cs="Arial"/>
          <w:szCs w:val="24"/>
        </w:rPr>
        <w:t>health</w:t>
      </w:r>
      <w:r w:rsidRPr="0020713C">
        <w:rPr>
          <w:rFonts w:cs="Arial"/>
          <w:szCs w:val="24"/>
        </w:rPr>
        <w:t xml:space="preserve"> scrutiny powers.</w:t>
      </w:r>
    </w:p>
    <w:p w:rsidR="00F85C62" w:rsidRDefault="00F85C62" w:rsidP="009E3D0E">
      <w:pPr>
        <w:rPr>
          <w:rFonts w:cs="Arial"/>
          <w:szCs w:val="24"/>
        </w:rPr>
      </w:pPr>
    </w:p>
    <w:p w:rsidR="00F85C62" w:rsidRPr="0020713C" w:rsidRDefault="00F85C62" w:rsidP="0020713C">
      <w:pPr>
        <w:pStyle w:val="ListParagraph"/>
        <w:numPr>
          <w:ilvl w:val="0"/>
          <w:numId w:val="30"/>
        </w:numPr>
        <w:rPr>
          <w:rFonts w:cs="Arial"/>
          <w:szCs w:val="24"/>
        </w:rPr>
      </w:pPr>
      <w:r w:rsidRPr="0020713C">
        <w:rPr>
          <w:rFonts w:cs="Arial"/>
          <w:szCs w:val="24"/>
        </w:rPr>
        <w:t xml:space="preserve">Where a matter is referred to the Health Scrutiny Committee by the </w:t>
      </w:r>
      <w:r w:rsidR="0020713C">
        <w:rPr>
          <w:rFonts w:cs="Arial"/>
          <w:szCs w:val="24"/>
        </w:rPr>
        <w:t>Local Healthw</w:t>
      </w:r>
      <w:r w:rsidRPr="0020713C">
        <w:rPr>
          <w:rFonts w:cs="Arial"/>
          <w:szCs w:val="24"/>
        </w:rPr>
        <w:t>a</w:t>
      </w:r>
      <w:r w:rsidR="0020713C">
        <w:rPr>
          <w:rFonts w:cs="Arial"/>
          <w:szCs w:val="24"/>
        </w:rPr>
        <w:t>t</w:t>
      </w:r>
      <w:r w:rsidRPr="0020713C">
        <w:rPr>
          <w:rFonts w:cs="Arial"/>
          <w:szCs w:val="24"/>
        </w:rPr>
        <w:t>ch, there would be an obligation on the scrutiny committee to acknowledge receipt of the referral and keep Healthwatch informed</w:t>
      </w:r>
      <w:r w:rsidR="0020713C" w:rsidRPr="0020713C">
        <w:rPr>
          <w:rFonts w:cs="Arial"/>
          <w:szCs w:val="24"/>
        </w:rPr>
        <w:t xml:space="preserve"> of action taken </w:t>
      </w:r>
      <w:r w:rsidRPr="0020713C">
        <w:rPr>
          <w:rFonts w:cs="Arial"/>
          <w:szCs w:val="24"/>
        </w:rPr>
        <w:t xml:space="preserve"> </w:t>
      </w:r>
    </w:p>
    <w:p w:rsidR="00F85C62" w:rsidRPr="00F85C62" w:rsidRDefault="00F85C62" w:rsidP="009E3D0E">
      <w:pPr>
        <w:rPr>
          <w:rFonts w:cs="Arial"/>
          <w:szCs w:val="24"/>
        </w:rPr>
      </w:pPr>
    </w:p>
    <w:p w:rsidR="00F85C62" w:rsidRPr="00790ECB" w:rsidRDefault="00246DAF" w:rsidP="009E3D0E">
      <w:pPr>
        <w:rPr>
          <w:rFonts w:cs="Arial"/>
          <w:szCs w:val="24"/>
        </w:rPr>
      </w:pPr>
      <w:r>
        <w:rPr>
          <w:rFonts w:cs="Arial"/>
          <w:szCs w:val="24"/>
        </w:rPr>
        <w:t xml:space="preserve">The </w:t>
      </w:r>
      <w:r w:rsidR="00C20D28" w:rsidRPr="00790ECB">
        <w:rPr>
          <w:rFonts w:cs="Arial"/>
          <w:szCs w:val="24"/>
        </w:rPr>
        <w:t>Committee</w:t>
      </w:r>
      <w:r w:rsidR="0020713C" w:rsidRPr="00790ECB">
        <w:rPr>
          <w:rFonts w:cs="Arial"/>
          <w:szCs w:val="24"/>
        </w:rPr>
        <w:t xml:space="preserve"> is therefore ask</w:t>
      </w:r>
      <w:r>
        <w:rPr>
          <w:rFonts w:cs="Arial"/>
          <w:szCs w:val="24"/>
        </w:rPr>
        <w:t>ed</w:t>
      </w:r>
      <w:r w:rsidR="0020713C" w:rsidRPr="00790ECB">
        <w:rPr>
          <w:rFonts w:cs="Arial"/>
          <w:szCs w:val="24"/>
        </w:rPr>
        <w:t xml:space="preserve"> to agree that health scrutiny powers will be exercised by the Health Scrutiny Committee, and that the revised terms of reference attached as Appendix </w:t>
      </w:r>
      <w:r w:rsidR="00790ECB" w:rsidRPr="00790ECB">
        <w:rPr>
          <w:rFonts w:cs="Arial"/>
          <w:szCs w:val="24"/>
        </w:rPr>
        <w:t>'</w:t>
      </w:r>
      <w:r w:rsidR="001F365F" w:rsidRPr="00790ECB">
        <w:rPr>
          <w:rFonts w:cs="Arial"/>
          <w:szCs w:val="24"/>
        </w:rPr>
        <w:t>B</w:t>
      </w:r>
      <w:r w:rsidR="00790ECB" w:rsidRPr="00790ECB">
        <w:rPr>
          <w:rFonts w:cs="Arial"/>
          <w:szCs w:val="24"/>
        </w:rPr>
        <w:t>'</w:t>
      </w:r>
      <w:r w:rsidR="0020713C" w:rsidRPr="00790ECB">
        <w:rPr>
          <w:rFonts w:cs="Arial"/>
          <w:szCs w:val="24"/>
        </w:rPr>
        <w:t xml:space="preserve"> are agreed.</w:t>
      </w:r>
    </w:p>
    <w:p w:rsidR="00F07533" w:rsidRDefault="00F07533" w:rsidP="009E3D0E">
      <w:pPr>
        <w:rPr>
          <w:rFonts w:cs="Arial"/>
          <w:b/>
          <w:szCs w:val="24"/>
        </w:rPr>
      </w:pPr>
    </w:p>
    <w:p w:rsidR="00246DAF" w:rsidRPr="00364BB6" w:rsidRDefault="00246DAF" w:rsidP="00246DAF">
      <w:pPr>
        <w:rPr>
          <w:b/>
        </w:rPr>
      </w:pPr>
      <w:r w:rsidRPr="00364BB6">
        <w:rPr>
          <w:b/>
        </w:rPr>
        <w:t>Consultations</w:t>
      </w:r>
    </w:p>
    <w:p w:rsidR="00246DAF" w:rsidRPr="00364BB6" w:rsidRDefault="00246DAF" w:rsidP="00246DAF">
      <w:pPr>
        <w:rPr>
          <w:b/>
        </w:rPr>
      </w:pPr>
    </w:p>
    <w:p w:rsidR="00246DAF" w:rsidRPr="00364BB6" w:rsidRDefault="00246DAF" w:rsidP="00246DAF">
      <w:r w:rsidRPr="00364BB6">
        <w:t>N/A</w:t>
      </w:r>
    </w:p>
    <w:p w:rsidR="00246DAF" w:rsidRPr="00364BB6" w:rsidRDefault="00246DAF" w:rsidP="00246DAF">
      <w:pPr>
        <w:rPr>
          <w:b/>
        </w:rPr>
      </w:pPr>
    </w:p>
    <w:p w:rsidR="00246DAF" w:rsidRDefault="00246DAF" w:rsidP="00246DAF">
      <w:pPr>
        <w:rPr>
          <w:rFonts w:cs="Arial"/>
          <w:b/>
          <w:szCs w:val="24"/>
        </w:rPr>
      </w:pPr>
      <w:r>
        <w:rPr>
          <w:rFonts w:cs="Arial"/>
          <w:b/>
          <w:szCs w:val="24"/>
        </w:rPr>
        <w:t>Implications</w:t>
      </w:r>
    </w:p>
    <w:p w:rsidR="00246DAF" w:rsidRPr="00364BB6" w:rsidRDefault="00246DAF" w:rsidP="00246DAF">
      <w:pPr>
        <w:rPr>
          <w:b/>
        </w:rPr>
      </w:pPr>
    </w:p>
    <w:p w:rsidR="00246DAF" w:rsidRPr="00364BB6" w:rsidRDefault="00246DAF" w:rsidP="00246DAF">
      <w:pPr>
        <w:rPr>
          <w:b/>
        </w:rPr>
      </w:pPr>
      <w:r w:rsidRPr="00364BB6">
        <w:rPr>
          <w:b/>
        </w:rPr>
        <w:t>Risk management</w:t>
      </w:r>
    </w:p>
    <w:p w:rsidR="00246DAF" w:rsidRPr="00364BB6" w:rsidRDefault="00246DAF" w:rsidP="00246DAF">
      <w:pPr>
        <w:rPr>
          <w:b/>
        </w:rPr>
      </w:pPr>
    </w:p>
    <w:p w:rsidR="00246DAF" w:rsidRPr="00FD32F5" w:rsidRDefault="00246DAF" w:rsidP="00246DAF">
      <w:pPr>
        <w:rPr>
          <w:rFonts w:cs="Arial"/>
          <w:szCs w:val="24"/>
        </w:rPr>
      </w:pPr>
      <w:r w:rsidRPr="00FD32F5">
        <w:rPr>
          <w:rFonts w:cs="Arial"/>
          <w:szCs w:val="24"/>
        </w:rPr>
        <w:t>The Health and Social Care Act 2012 state</w:t>
      </w:r>
      <w:r>
        <w:rPr>
          <w:rFonts w:cs="Arial"/>
          <w:szCs w:val="24"/>
        </w:rPr>
        <w:t>s</w:t>
      </w:r>
      <w:r w:rsidRPr="00FD32F5">
        <w:rPr>
          <w:rFonts w:cs="Arial"/>
          <w:szCs w:val="24"/>
        </w:rPr>
        <w:t xml:space="preserve"> that local authorities must establish a Health and Wellbeing Board for their areas</w:t>
      </w:r>
      <w:r>
        <w:rPr>
          <w:rFonts w:cs="Arial"/>
          <w:szCs w:val="24"/>
        </w:rPr>
        <w:t xml:space="preserve"> by 1 April 2013.</w:t>
      </w:r>
      <w:r w:rsidRPr="00FD32F5">
        <w:rPr>
          <w:rFonts w:cs="Arial"/>
          <w:szCs w:val="24"/>
        </w:rPr>
        <w:t xml:space="preserve">  </w:t>
      </w:r>
    </w:p>
    <w:p w:rsidR="00246DAF" w:rsidRPr="00364BB6" w:rsidRDefault="00246DAF" w:rsidP="00246DAF">
      <w:pPr>
        <w:rPr>
          <w:b/>
        </w:rPr>
      </w:pPr>
    </w:p>
    <w:p w:rsidR="00246DAF" w:rsidRPr="00364BB6" w:rsidRDefault="00246DAF" w:rsidP="00246DAF">
      <w:pPr>
        <w:rPr>
          <w:b/>
        </w:rPr>
      </w:pPr>
      <w:r w:rsidRPr="00364BB6">
        <w:rPr>
          <w:b/>
        </w:rPr>
        <w:t>Local Government (Access to Information) Act 1985</w:t>
      </w:r>
    </w:p>
    <w:p w:rsidR="00246DAF" w:rsidRPr="00364BB6" w:rsidRDefault="00246DAF" w:rsidP="00246DAF">
      <w:pPr>
        <w:rPr>
          <w:b/>
        </w:rPr>
      </w:pPr>
      <w:r w:rsidRPr="00364BB6">
        <w:rPr>
          <w:b/>
        </w:rPr>
        <w:t>List of Background Papers</w:t>
      </w:r>
    </w:p>
    <w:p w:rsidR="00246DAF" w:rsidRPr="00364BB6" w:rsidRDefault="00246DAF" w:rsidP="00246DAF">
      <w:pPr>
        <w:rPr>
          <w:b/>
        </w:rPr>
      </w:pPr>
    </w:p>
    <w:p w:rsidR="00246DAF" w:rsidRPr="00364BB6" w:rsidRDefault="00246DAF" w:rsidP="00246DAF">
      <w:r w:rsidRPr="00364BB6">
        <w:t>N/A</w:t>
      </w:r>
    </w:p>
    <w:p w:rsidR="00246DAF" w:rsidRPr="00364BB6" w:rsidRDefault="00246DAF" w:rsidP="00246DAF">
      <w:pPr>
        <w:rPr>
          <w:b/>
        </w:rPr>
      </w:pPr>
    </w:p>
    <w:tbl>
      <w:tblPr>
        <w:tblW w:w="0" w:type="auto"/>
        <w:tblLayout w:type="fixed"/>
        <w:tblLook w:val="0000"/>
      </w:tblPr>
      <w:tblGrid>
        <w:gridCol w:w="9180"/>
      </w:tblGrid>
      <w:tr w:rsidR="00246DAF" w:rsidRPr="00364BB6" w:rsidTr="00D5668F">
        <w:tc>
          <w:tcPr>
            <w:tcW w:w="9180" w:type="dxa"/>
          </w:tcPr>
          <w:p w:rsidR="00246DAF" w:rsidRPr="00364BB6" w:rsidRDefault="00246DAF" w:rsidP="00246DAF">
            <w:pPr>
              <w:rPr>
                <w:b/>
              </w:rPr>
            </w:pPr>
            <w:r w:rsidRPr="00364BB6">
              <w:rPr>
                <w:b/>
              </w:rPr>
              <w:t>Reason for inclusion in Part II, if appropriate</w:t>
            </w:r>
          </w:p>
        </w:tc>
      </w:tr>
    </w:tbl>
    <w:p w:rsidR="00F07533" w:rsidRDefault="00F07533" w:rsidP="009E3D0E">
      <w:pPr>
        <w:rPr>
          <w:rFonts w:cs="Arial"/>
          <w:b/>
          <w:szCs w:val="24"/>
        </w:rPr>
      </w:pPr>
    </w:p>
    <w:sectPr w:rsidR="00F07533" w:rsidSect="00631B18">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DC" w:rsidRDefault="00C746DC">
      <w:r>
        <w:separator/>
      </w:r>
    </w:p>
  </w:endnote>
  <w:endnote w:type="continuationSeparator" w:id="0">
    <w:p w:rsidR="00C746DC" w:rsidRDefault="00C74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C746DC">
      <w:tc>
        <w:tcPr>
          <w:tcW w:w="9243" w:type="dxa"/>
          <w:tcBorders>
            <w:top w:val="nil"/>
            <w:left w:val="nil"/>
            <w:bottom w:val="nil"/>
            <w:right w:val="nil"/>
          </w:tcBorders>
        </w:tcPr>
        <w:p w:rsidR="00C746DC" w:rsidRDefault="00C746DC">
          <w:pPr>
            <w:pStyle w:val="Footer"/>
            <w:tabs>
              <w:tab w:val="clear" w:pos="4153"/>
            </w:tabs>
            <w:ind w:right="-45"/>
            <w:jc w:val="right"/>
          </w:pPr>
        </w:p>
      </w:tc>
    </w:tr>
  </w:tbl>
  <w:p w:rsidR="00C746DC" w:rsidRDefault="00C746DC">
    <w:pPr>
      <w:pStyle w:val="Footer"/>
      <w:tabs>
        <w:tab w:val="clear" w:pos="4153"/>
      </w:tabs>
      <w:ind w:right="-4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C746DC">
      <w:tc>
        <w:tcPr>
          <w:tcW w:w="9243" w:type="dxa"/>
          <w:tcBorders>
            <w:top w:val="nil"/>
            <w:left w:val="nil"/>
            <w:bottom w:val="nil"/>
            <w:right w:val="nil"/>
          </w:tcBorders>
        </w:tcPr>
        <w:p w:rsidR="00C746DC" w:rsidRDefault="00C746DC">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C746DC" w:rsidRDefault="00C746DC">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DC" w:rsidRDefault="00C746DC">
      <w:r>
        <w:separator/>
      </w:r>
    </w:p>
  </w:footnote>
  <w:footnote w:type="continuationSeparator" w:id="0">
    <w:p w:rsidR="00C746DC" w:rsidRDefault="00C74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B323231"/>
    <w:multiLevelType w:val="hybridMultilevel"/>
    <w:tmpl w:val="9DD0DD1C"/>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C833438"/>
    <w:multiLevelType w:val="hybridMultilevel"/>
    <w:tmpl w:val="8E6AD9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0159B8"/>
    <w:multiLevelType w:val="hybridMultilevel"/>
    <w:tmpl w:val="727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C013E"/>
    <w:multiLevelType w:val="hybridMultilevel"/>
    <w:tmpl w:val="A82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56E9E"/>
    <w:multiLevelType w:val="multilevel"/>
    <w:tmpl w:val="CCF20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E0540"/>
    <w:multiLevelType w:val="hybridMultilevel"/>
    <w:tmpl w:val="8F1227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7565934"/>
    <w:multiLevelType w:val="hybridMultilevel"/>
    <w:tmpl w:val="930C9648"/>
    <w:lvl w:ilvl="0" w:tplc="FFFFFFFF">
      <w:start w:val="3"/>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890"/>
        </w:tabs>
        <w:ind w:left="890" w:hanging="180"/>
      </w:pPr>
    </w:lvl>
    <w:lvl w:ilvl="3" w:tplc="B102512C">
      <w:start w:val="3"/>
      <w:numFmt w:val="low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7830E81"/>
    <w:multiLevelType w:val="hybridMultilevel"/>
    <w:tmpl w:val="1D06BC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DB47CB8"/>
    <w:multiLevelType w:val="hybridMultilevel"/>
    <w:tmpl w:val="1C9E3388"/>
    <w:lvl w:ilvl="0" w:tplc="5E207872">
      <w:start w:val="1"/>
      <w:numFmt w:val="lowerLetter"/>
      <w:lvlText w:val="%1)"/>
      <w:lvlJc w:val="left"/>
      <w:pPr>
        <w:tabs>
          <w:tab w:val="num" w:pos="795"/>
        </w:tabs>
        <w:ind w:left="795" w:hanging="36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9">
    <w:nsid w:val="315303CB"/>
    <w:multiLevelType w:val="hybridMultilevel"/>
    <w:tmpl w:val="7E284FB0"/>
    <w:lvl w:ilvl="0" w:tplc="721AC712">
      <w:start w:val="1"/>
      <w:numFmt w:val="lowerRoman"/>
      <w:lvlText w:val="%1."/>
      <w:lvlJc w:val="left"/>
      <w:pPr>
        <w:tabs>
          <w:tab w:val="num" w:pos="720"/>
        </w:tabs>
        <w:ind w:left="720" w:hanging="360"/>
      </w:pPr>
      <w:rPr>
        <w:rFonts w:hint="default"/>
      </w:rPr>
    </w:lvl>
    <w:lvl w:ilvl="1" w:tplc="79CE2F46" w:tentative="1">
      <w:start w:val="1"/>
      <w:numFmt w:val="lowerLetter"/>
      <w:lvlText w:val="%2."/>
      <w:lvlJc w:val="left"/>
      <w:pPr>
        <w:tabs>
          <w:tab w:val="num" w:pos="1440"/>
        </w:tabs>
        <w:ind w:left="1440" w:hanging="360"/>
      </w:pPr>
    </w:lvl>
    <w:lvl w:ilvl="2" w:tplc="1B9C7C32" w:tentative="1">
      <w:start w:val="1"/>
      <w:numFmt w:val="lowerRoman"/>
      <w:lvlText w:val="%3."/>
      <w:lvlJc w:val="right"/>
      <w:pPr>
        <w:tabs>
          <w:tab w:val="num" w:pos="2160"/>
        </w:tabs>
        <w:ind w:left="2160" w:hanging="180"/>
      </w:pPr>
    </w:lvl>
    <w:lvl w:ilvl="3" w:tplc="21A64862" w:tentative="1">
      <w:start w:val="1"/>
      <w:numFmt w:val="decimal"/>
      <w:lvlText w:val="%4."/>
      <w:lvlJc w:val="left"/>
      <w:pPr>
        <w:tabs>
          <w:tab w:val="num" w:pos="2880"/>
        </w:tabs>
        <w:ind w:left="2880" w:hanging="360"/>
      </w:pPr>
    </w:lvl>
    <w:lvl w:ilvl="4" w:tplc="51F0D22E" w:tentative="1">
      <w:start w:val="1"/>
      <w:numFmt w:val="lowerLetter"/>
      <w:lvlText w:val="%5."/>
      <w:lvlJc w:val="left"/>
      <w:pPr>
        <w:tabs>
          <w:tab w:val="num" w:pos="3600"/>
        </w:tabs>
        <w:ind w:left="3600" w:hanging="360"/>
      </w:pPr>
    </w:lvl>
    <w:lvl w:ilvl="5" w:tplc="C5A843D2" w:tentative="1">
      <w:start w:val="1"/>
      <w:numFmt w:val="lowerRoman"/>
      <w:lvlText w:val="%6."/>
      <w:lvlJc w:val="right"/>
      <w:pPr>
        <w:tabs>
          <w:tab w:val="num" w:pos="4320"/>
        </w:tabs>
        <w:ind w:left="4320" w:hanging="180"/>
      </w:pPr>
    </w:lvl>
    <w:lvl w:ilvl="6" w:tplc="4912BF30" w:tentative="1">
      <w:start w:val="1"/>
      <w:numFmt w:val="decimal"/>
      <w:lvlText w:val="%7."/>
      <w:lvlJc w:val="left"/>
      <w:pPr>
        <w:tabs>
          <w:tab w:val="num" w:pos="5040"/>
        </w:tabs>
        <w:ind w:left="5040" w:hanging="360"/>
      </w:pPr>
    </w:lvl>
    <w:lvl w:ilvl="7" w:tplc="4F54AAB2" w:tentative="1">
      <w:start w:val="1"/>
      <w:numFmt w:val="lowerLetter"/>
      <w:lvlText w:val="%8."/>
      <w:lvlJc w:val="left"/>
      <w:pPr>
        <w:tabs>
          <w:tab w:val="num" w:pos="5760"/>
        </w:tabs>
        <w:ind w:left="5760" w:hanging="360"/>
      </w:pPr>
    </w:lvl>
    <w:lvl w:ilvl="8" w:tplc="E9E815DA" w:tentative="1">
      <w:start w:val="1"/>
      <w:numFmt w:val="lowerRoman"/>
      <w:lvlText w:val="%9."/>
      <w:lvlJc w:val="right"/>
      <w:pPr>
        <w:tabs>
          <w:tab w:val="num" w:pos="6480"/>
        </w:tabs>
        <w:ind w:left="6480" w:hanging="180"/>
      </w:pPr>
    </w:lvl>
  </w:abstractNum>
  <w:abstractNum w:abstractNumId="10">
    <w:nsid w:val="33D53671"/>
    <w:multiLevelType w:val="multilevel"/>
    <w:tmpl w:val="E0B646EA"/>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030C05"/>
    <w:multiLevelType w:val="hybridMultilevel"/>
    <w:tmpl w:val="01CAE15C"/>
    <w:lvl w:ilvl="0" w:tplc="7D909C22">
      <w:start w:val="9"/>
      <w:numFmt w:val="lowerLetter"/>
      <w:lvlText w:val="%1)"/>
      <w:lvlJc w:val="left"/>
      <w:pPr>
        <w:tabs>
          <w:tab w:val="num" w:pos="1080"/>
        </w:tabs>
        <w:ind w:left="1080" w:hanging="360"/>
      </w:pPr>
      <w:rPr>
        <w:rFonts w:hint="default"/>
      </w:rPr>
    </w:lvl>
    <w:lvl w:ilvl="1" w:tplc="67A6AAD8">
      <w:start w:val="3"/>
      <w:numFmt w:val="lowerRoman"/>
      <w:lvlText w:val="%2)"/>
      <w:lvlJc w:val="left"/>
      <w:pPr>
        <w:tabs>
          <w:tab w:val="num" w:pos="2160"/>
        </w:tabs>
        <w:ind w:left="2160" w:hanging="720"/>
      </w:pPr>
      <w:rPr>
        <w:rFonts w:hint="default"/>
      </w:rPr>
    </w:lvl>
    <w:lvl w:ilvl="2" w:tplc="B22CD7D2" w:tentative="1">
      <w:start w:val="1"/>
      <w:numFmt w:val="lowerRoman"/>
      <w:lvlText w:val="%3."/>
      <w:lvlJc w:val="right"/>
      <w:pPr>
        <w:tabs>
          <w:tab w:val="num" w:pos="2520"/>
        </w:tabs>
        <w:ind w:left="2520" w:hanging="180"/>
      </w:pPr>
    </w:lvl>
    <w:lvl w:ilvl="3" w:tplc="490EFC06" w:tentative="1">
      <w:start w:val="1"/>
      <w:numFmt w:val="decimal"/>
      <w:lvlText w:val="%4."/>
      <w:lvlJc w:val="left"/>
      <w:pPr>
        <w:tabs>
          <w:tab w:val="num" w:pos="3240"/>
        </w:tabs>
        <w:ind w:left="3240" w:hanging="360"/>
      </w:pPr>
    </w:lvl>
    <w:lvl w:ilvl="4" w:tplc="19A08F1A" w:tentative="1">
      <w:start w:val="1"/>
      <w:numFmt w:val="lowerLetter"/>
      <w:lvlText w:val="%5."/>
      <w:lvlJc w:val="left"/>
      <w:pPr>
        <w:tabs>
          <w:tab w:val="num" w:pos="3960"/>
        </w:tabs>
        <w:ind w:left="3960" w:hanging="360"/>
      </w:pPr>
    </w:lvl>
    <w:lvl w:ilvl="5" w:tplc="3B7EDA7E" w:tentative="1">
      <w:start w:val="1"/>
      <w:numFmt w:val="lowerRoman"/>
      <w:lvlText w:val="%6."/>
      <w:lvlJc w:val="right"/>
      <w:pPr>
        <w:tabs>
          <w:tab w:val="num" w:pos="4680"/>
        </w:tabs>
        <w:ind w:left="4680" w:hanging="180"/>
      </w:pPr>
    </w:lvl>
    <w:lvl w:ilvl="6" w:tplc="A65E09D0" w:tentative="1">
      <w:start w:val="1"/>
      <w:numFmt w:val="decimal"/>
      <w:lvlText w:val="%7."/>
      <w:lvlJc w:val="left"/>
      <w:pPr>
        <w:tabs>
          <w:tab w:val="num" w:pos="5400"/>
        </w:tabs>
        <w:ind w:left="5400" w:hanging="360"/>
      </w:pPr>
    </w:lvl>
    <w:lvl w:ilvl="7" w:tplc="ED34A510" w:tentative="1">
      <w:start w:val="1"/>
      <w:numFmt w:val="lowerLetter"/>
      <w:lvlText w:val="%8."/>
      <w:lvlJc w:val="left"/>
      <w:pPr>
        <w:tabs>
          <w:tab w:val="num" w:pos="6120"/>
        </w:tabs>
        <w:ind w:left="6120" w:hanging="360"/>
      </w:pPr>
    </w:lvl>
    <w:lvl w:ilvl="8" w:tplc="E11EC0BA" w:tentative="1">
      <w:start w:val="1"/>
      <w:numFmt w:val="lowerRoman"/>
      <w:lvlText w:val="%9."/>
      <w:lvlJc w:val="right"/>
      <w:pPr>
        <w:tabs>
          <w:tab w:val="num" w:pos="6840"/>
        </w:tabs>
        <w:ind w:left="6840" w:hanging="180"/>
      </w:pPr>
    </w:lvl>
  </w:abstractNum>
  <w:abstractNum w:abstractNumId="12">
    <w:nsid w:val="3DE81F22"/>
    <w:multiLevelType w:val="hybridMultilevel"/>
    <w:tmpl w:val="448C286C"/>
    <w:lvl w:ilvl="0" w:tplc="95B27B5E">
      <w:start w:val="1"/>
      <w:numFmt w:val="bullet"/>
      <w:lvlText w:val=""/>
      <w:lvlJc w:val="left"/>
      <w:pPr>
        <w:tabs>
          <w:tab w:val="num" w:pos="360"/>
        </w:tabs>
        <w:ind w:left="360" w:hanging="360"/>
      </w:pPr>
      <w:rPr>
        <w:rFonts w:ascii="Symbol" w:hAnsi="Symbol" w:hint="default"/>
      </w:rPr>
    </w:lvl>
    <w:lvl w:ilvl="1" w:tplc="336C0F6E" w:tentative="1">
      <w:start w:val="1"/>
      <w:numFmt w:val="bullet"/>
      <w:lvlText w:val="o"/>
      <w:lvlJc w:val="left"/>
      <w:pPr>
        <w:tabs>
          <w:tab w:val="num" w:pos="720"/>
        </w:tabs>
        <w:ind w:left="720" w:hanging="360"/>
      </w:pPr>
      <w:rPr>
        <w:rFonts w:ascii="Courier New" w:hAnsi="Courier New" w:cs="Courier New" w:hint="default"/>
      </w:rPr>
    </w:lvl>
    <w:lvl w:ilvl="2" w:tplc="0809001B" w:tentative="1">
      <w:start w:val="1"/>
      <w:numFmt w:val="bullet"/>
      <w:lvlText w:val=""/>
      <w:lvlJc w:val="left"/>
      <w:pPr>
        <w:tabs>
          <w:tab w:val="num" w:pos="1440"/>
        </w:tabs>
        <w:ind w:left="1440" w:hanging="360"/>
      </w:pPr>
      <w:rPr>
        <w:rFonts w:ascii="Wingdings" w:hAnsi="Wingdings" w:hint="default"/>
      </w:rPr>
    </w:lvl>
    <w:lvl w:ilvl="3" w:tplc="0809000F" w:tentative="1">
      <w:start w:val="1"/>
      <w:numFmt w:val="bullet"/>
      <w:lvlText w:val=""/>
      <w:lvlJc w:val="left"/>
      <w:pPr>
        <w:tabs>
          <w:tab w:val="num" w:pos="2160"/>
        </w:tabs>
        <w:ind w:left="2160" w:hanging="360"/>
      </w:pPr>
      <w:rPr>
        <w:rFonts w:ascii="Symbol" w:hAnsi="Symbol" w:hint="default"/>
      </w:rPr>
    </w:lvl>
    <w:lvl w:ilvl="4" w:tplc="08090019" w:tentative="1">
      <w:start w:val="1"/>
      <w:numFmt w:val="bullet"/>
      <w:lvlText w:val="o"/>
      <w:lvlJc w:val="left"/>
      <w:pPr>
        <w:tabs>
          <w:tab w:val="num" w:pos="2880"/>
        </w:tabs>
        <w:ind w:left="2880" w:hanging="360"/>
      </w:pPr>
      <w:rPr>
        <w:rFonts w:ascii="Courier New" w:hAnsi="Courier New" w:cs="Courier New" w:hint="default"/>
      </w:rPr>
    </w:lvl>
    <w:lvl w:ilvl="5" w:tplc="0809001B" w:tentative="1">
      <w:start w:val="1"/>
      <w:numFmt w:val="bullet"/>
      <w:lvlText w:val=""/>
      <w:lvlJc w:val="left"/>
      <w:pPr>
        <w:tabs>
          <w:tab w:val="num" w:pos="3600"/>
        </w:tabs>
        <w:ind w:left="3600" w:hanging="360"/>
      </w:pPr>
      <w:rPr>
        <w:rFonts w:ascii="Wingdings" w:hAnsi="Wingdings" w:hint="default"/>
      </w:rPr>
    </w:lvl>
    <w:lvl w:ilvl="6" w:tplc="0809000F" w:tentative="1">
      <w:start w:val="1"/>
      <w:numFmt w:val="bullet"/>
      <w:lvlText w:val=""/>
      <w:lvlJc w:val="left"/>
      <w:pPr>
        <w:tabs>
          <w:tab w:val="num" w:pos="4320"/>
        </w:tabs>
        <w:ind w:left="4320" w:hanging="360"/>
      </w:pPr>
      <w:rPr>
        <w:rFonts w:ascii="Symbol" w:hAnsi="Symbol" w:hint="default"/>
      </w:rPr>
    </w:lvl>
    <w:lvl w:ilvl="7" w:tplc="08090019" w:tentative="1">
      <w:start w:val="1"/>
      <w:numFmt w:val="bullet"/>
      <w:lvlText w:val="o"/>
      <w:lvlJc w:val="left"/>
      <w:pPr>
        <w:tabs>
          <w:tab w:val="num" w:pos="5040"/>
        </w:tabs>
        <w:ind w:left="5040" w:hanging="360"/>
      </w:pPr>
      <w:rPr>
        <w:rFonts w:ascii="Courier New" w:hAnsi="Courier New" w:cs="Courier New" w:hint="default"/>
      </w:rPr>
    </w:lvl>
    <w:lvl w:ilvl="8" w:tplc="0809001B" w:tentative="1">
      <w:start w:val="1"/>
      <w:numFmt w:val="bullet"/>
      <w:lvlText w:val=""/>
      <w:lvlJc w:val="left"/>
      <w:pPr>
        <w:tabs>
          <w:tab w:val="num" w:pos="5760"/>
        </w:tabs>
        <w:ind w:left="5760" w:hanging="360"/>
      </w:pPr>
      <w:rPr>
        <w:rFonts w:ascii="Wingdings" w:hAnsi="Wingdings" w:hint="default"/>
      </w:rPr>
    </w:lvl>
  </w:abstractNum>
  <w:abstractNum w:abstractNumId="13">
    <w:nsid w:val="40DB4416"/>
    <w:multiLevelType w:val="hybridMultilevel"/>
    <w:tmpl w:val="78EC8254"/>
    <w:lvl w:ilvl="0" w:tplc="0809000F">
      <w:start w:val="1"/>
      <w:numFmt w:val="decimal"/>
      <w:lvlText w:val="%1."/>
      <w:lvlJc w:val="left"/>
      <w:pPr>
        <w:ind w:left="720" w:hanging="360"/>
      </w:pPr>
    </w:lvl>
    <w:lvl w:ilvl="1" w:tplc="08090013">
      <w:start w:val="1"/>
      <w:numFmt w:val="upperRoman"/>
      <w:lvlText w:val="%2."/>
      <w:lvlJc w:val="righ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42946A06"/>
    <w:multiLevelType w:val="hybridMultilevel"/>
    <w:tmpl w:val="D0C47560"/>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472A666E"/>
    <w:multiLevelType w:val="multilevel"/>
    <w:tmpl w:val="B6FC9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3D5BB8"/>
    <w:multiLevelType w:val="hybridMultilevel"/>
    <w:tmpl w:val="06E8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60FC8"/>
    <w:multiLevelType w:val="hybridMultilevel"/>
    <w:tmpl w:val="374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2C52D2"/>
    <w:multiLevelType w:val="hybridMultilevel"/>
    <w:tmpl w:val="384C3E66"/>
    <w:lvl w:ilvl="0" w:tplc="08090001">
      <w:start w:val="2"/>
      <w:numFmt w:val="lowerRoman"/>
      <w:lvlText w:val="%1)"/>
      <w:lvlJc w:val="left"/>
      <w:pPr>
        <w:tabs>
          <w:tab w:val="num" w:pos="4320"/>
        </w:tabs>
        <w:ind w:left="4320" w:hanging="720"/>
      </w:pPr>
      <w:rPr>
        <w:rFonts w:hint="default"/>
      </w:rPr>
    </w:lvl>
    <w:lvl w:ilvl="1" w:tplc="08090003" w:tentative="1">
      <w:start w:val="1"/>
      <w:numFmt w:val="lowerLetter"/>
      <w:lvlText w:val="%2."/>
      <w:lvlJc w:val="left"/>
      <w:pPr>
        <w:tabs>
          <w:tab w:val="num" w:pos="4680"/>
        </w:tabs>
        <w:ind w:left="4680" w:hanging="360"/>
      </w:pPr>
    </w:lvl>
    <w:lvl w:ilvl="2" w:tplc="08090005" w:tentative="1">
      <w:start w:val="1"/>
      <w:numFmt w:val="lowerRoman"/>
      <w:lvlText w:val="%3."/>
      <w:lvlJc w:val="right"/>
      <w:pPr>
        <w:tabs>
          <w:tab w:val="num" w:pos="5400"/>
        </w:tabs>
        <w:ind w:left="5400" w:hanging="180"/>
      </w:pPr>
    </w:lvl>
    <w:lvl w:ilvl="3" w:tplc="08090001" w:tentative="1">
      <w:start w:val="1"/>
      <w:numFmt w:val="decimal"/>
      <w:lvlText w:val="%4."/>
      <w:lvlJc w:val="left"/>
      <w:pPr>
        <w:tabs>
          <w:tab w:val="num" w:pos="6120"/>
        </w:tabs>
        <w:ind w:left="6120" w:hanging="360"/>
      </w:pPr>
    </w:lvl>
    <w:lvl w:ilvl="4" w:tplc="08090003" w:tentative="1">
      <w:start w:val="1"/>
      <w:numFmt w:val="lowerLetter"/>
      <w:lvlText w:val="%5."/>
      <w:lvlJc w:val="left"/>
      <w:pPr>
        <w:tabs>
          <w:tab w:val="num" w:pos="6840"/>
        </w:tabs>
        <w:ind w:left="6840" w:hanging="360"/>
      </w:pPr>
    </w:lvl>
    <w:lvl w:ilvl="5" w:tplc="08090005" w:tentative="1">
      <w:start w:val="1"/>
      <w:numFmt w:val="lowerRoman"/>
      <w:lvlText w:val="%6."/>
      <w:lvlJc w:val="right"/>
      <w:pPr>
        <w:tabs>
          <w:tab w:val="num" w:pos="7560"/>
        </w:tabs>
        <w:ind w:left="7560" w:hanging="180"/>
      </w:pPr>
    </w:lvl>
    <w:lvl w:ilvl="6" w:tplc="08090001" w:tentative="1">
      <w:start w:val="1"/>
      <w:numFmt w:val="decimal"/>
      <w:lvlText w:val="%7."/>
      <w:lvlJc w:val="left"/>
      <w:pPr>
        <w:tabs>
          <w:tab w:val="num" w:pos="8280"/>
        </w:tabs>
        <w:ind w:left="8280" w:hanging="360"/>
      </w:pPr>
    </w:lvl>
    <w:lvl w:ilvl="7" w:tplc="08090003" w:tentative="1">
      <w:start w:val="1"/>
      <w:numFmt w:val="lowerLetter"/>
      <w:lvlText w:val="%8."/>
      <w:lvlJc w:val="left"/>
      <w:pPr>
        <w:tabs>
          <w:tab w:val="num" w:pos="9000"/>
        </w:tabs>
        <w:ind w:left="9000" w:hanging="360"/>
      </w:pPr>
    </w:lvl>
    <w:lvl w:ilvl="8" w:tplc="08090005" w:tentative="1">
      <w:start w:val="1"/>
      <w:numFmt w:val="lowerRoman"/>
      <w:lvlText w:val="%9."/>
      <w:lvlJc w:val="right"/>
      <w:pPr>
        <w:tabs>
          <w:tab w:val="num" w:pos="9720"/>
        </w:tabs>
        <w:ind w:left="9720" w:hanging="180"/>
      </w:pPr>
    </w:lvl>
  </w:abstractNum>
  <w:abstractNum w:abstractNumId="19">
    <w:nsid w:val="59B12D44"/>
    <w:multiLevelType w:val="hybridMultilevel"/>
    <w:tmpl w:val="8C94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035D0F"/>
    <w:multiLevelType w:val="multilevel"/>
    <w:tmpl w:val="B40CC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96346A"/>
    <w:multiLevelType w:val="hybridMultilevel"/>
    <w:tmpl w:val="7AB4F1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1C17323"/>
    <w:multiLevelType w:val="hybridMultilevel"/>
    <w:tmpl w:val="E794BB2A"/>
    <w:lvl w:ilvl="0" w:tplc="B95EC8A6">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nsid w:val="656512A2"/>
    <w:multiLevelType w:val="hybridMultilevel"/>
    <w:tmpl w:val="155E32E8"/>
    <w:lvl w:ilvl="0" w:tplc="0809001B">
      <w:start w:val="1"/>
      <w:numFmt w:val="lowerRoman"/>
      <w:lvlText w:val="%1."/>
      <w:lvlJc w:val="right"/>
      <w:pPr>
        <w:ind w:left="720" w:hanging="360"/>
      </w:pPr>
    </w:lvl>
    <w:lvl w:ilvl="1" w:tplc="08090013">
      <w:start w:val="1"/>
      <w:numFmt w:val="upperRoman"/>
      <w:lvlText w:val="%2."/>
      <w:lvlJc w:val="righ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681F36A9"/>
    <w:multiLevelType w:val="hybridMultilevel"/>
    <w:tmpl w:val="4BA0BEC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nsid w:val="6ABB62FC"/>
    <w:multiLevelType w:val="hybridMultilevel"/>
    <w:tmpl w:val="4062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B6CF9"/>
    <w:multiLevelType w:val="hybridMultilevel"/>
    <w:tmpl w:val="97D43364"/>
    <w:lvl w:ilvl="0" w:tplc="67D4A404">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nsid w:val="78B20717"/>
    <w:multiLevelType w:val="hybridMultilevel"/>
    <w:tmpl w:val="726AC03A"/>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D796EC8"/>
    <w:multiLevelType w:val="hybridMultilevel"/>
    <w:tmpl w:val="868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552E2"/>
    <w:multiLevelType w:val="hybridMultilevel"/>
    <w:tmpl w:val="E0B646EA"/>
    <w:lvl w:ilvl="0" w:tplc="08090001">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FC3132"/>
    <w:multiLevelType w:val="singleLevel"/>
    <w:tmpl w:val="02A6E4CA"/>
    <w:lvl w:ilvl="0">
      <w:start w:val="1"/>
      <w:numFmt w:val="lowerLetter"/>
      <w:lvlText w:val="%1)"/>
      <w:lvlJc w:val="left"/>
      <w:pPr>
        <w:tabs>
          <w:tab w:val="num" w:pos="720"/>
        </w:tabs>
        <w:ind w:left="720" w:hanging="720"/>
      </w:pPr>
      <w:rPr>
        <w:rFonts w:hint="default"/>
      </w:rPr>
    </w:lvl>
  </w:abstractNum>
  <w:num w:numId="1">
    <w:abstractNumId w:val="30"/>
  </w:num>
  <w:num w:numId="2">
    <w:abstractNumId w:val="6"/>
  </w:num>
  <w:num w:numId="3">
    <w:abstractNumId w:val="22"/>
  </w:num>
  <w:num w:numId="4">
    <w:abstractNumId w:val="11"/>
  </w:num>
  <w:num w:numId="5">
    <w:abstractNumId w:val="18"/>
  </w:num>
  <w:num w:numId="6">
    <w:abstractNumId w:val="8"/>
  </w:num>
  <w:num w:numId="7">
    <w:abstractNumId w:val="9"/>
  </w:num>
  <w:num w:numId="8">
    <w:abstractNumId w:val="29"/>
  </w:num>
  <w:num w:numId="9">
    <w:abstractNumId w:val="10"/>
  </w:num>
  <w:num w:numId="10">
    <w:abstractNumId w:val="12"/>
  </w:num>
  <w:num w:numId="11">
    <w:abstractNumId w:val="16"/>
  </w:num>
  <w:num w:numId="12">
    <w:abstractNumId w:val="26"/>
  </w:num>
  <w:num w:numId="13">
    <w:abstractNumId w:val="2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0"/>
  </w:num>
  <w:num w:numId="21">
    <w:abstractNumId w:val="13"/>
  </w:num>
  <w:num w:numId="22">
    <w:abstractNumId w:val="23"/>
  </w:num>
  <w:num w:numId="23">
    <w:abstractNumId w:val="4"/>
  </w:num>
  <w:num w:numId="24">
    <w:abstractNumId w:val="17"/>
  </w:num>
  <w:num w:numId="25">
    <w:abstractNumId w:val="14"/>
  </w:num>
  <w:num w:numId="26">
    <w:abstractNumId w:val="20"/>
  </w:num>
  <w:num w:numId="27">
    <w:abstractNumId w:val="15"/>
  </w:num>
  <w:num w:numId="28">
    <w:abstractNumId w:val="28"/>
  </w:num>
  <w:num w:numId="29">
    <w:abstractNumId w:val="3"/>
  </w:num>
  <w:num w:numId="30">
    <w:abstractNumId w:val="25"/>
  </w:num>
  <w:num w:numId="31">
    <w:abstractNumId w:val="2"/>
  </w:num>
  <w:num w:numId="32">
    <w:abstractNumId w:val="27"/>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1D2BB7"/>
    <w:rsid w:val="00001194"/>
    <w:rsid w:val="000173ED"/>
    <w:rsid w:val="0004142C"/>
    <w:rsid w:val="00042255"/>
    <w:rsid w:val="00047B2B"/>
    <w:rsid w:val="00056D24"/>
    <w:rsid w:val="00076479"/>
    <w:rsid w:val="00076C96"/>
    <w:rsid w:val="00082DD3"/>
    <w:rsid w:val="00083507"/>
    <w:rsid w:val="00086D6B"/>
    <w:rsid w:val="00091A63"/>
    <w:rsid w:val="0009729C"/>
    <w:rsid w:val="000975EF"/>
    <w:rsid w:val="000A5565"/>
    <w:rsid w:val="000B40BE"/>
    <w:rsid w:val="000C3F79"/>
    <w:rsid w:val="00117A83"/>
    <w:rsid w:val="0013029C"/>
    <w:rsid w:val="00130328"/>
    <w:rsid w:val="001636D3"/>
    <w:rsid w:val="0017606E"/>
    <w:rsid w:val="001B1206"/>
    <w:rsid w:val="001D2BB7"/>
    <w:rsid w:val="001D4A09"/>
    <w:rsid w:val="001F365F"/>
    <w:rsid w:val="00205110"/>
    <w:rsid w:val="0020713C"/>
    <w:rsid w:val="00215036"/>
    <w:rsid w:val="00222042"/>
    <w:rsid w:val="0022539F"/>
    <w:rsid w:val="00246DAF"/>
    <w:rsid w:val="0027636F"/>
    <w:rsid w:val="002A1D2D"/>
    <w:rsid w:val="002B2D15"/>
    <w:rsid w:val="002F395C"/>
    <w:rsid w:val="00315B0D"/>
    <w:rsid w:val="00345120"/>
    <w:rsid w:val="003454A6"/>
    <w:rsid w:val="00353E20"/>
    <w:rsid w:val="003B2763"/>
    <w:rsid w:val="003C7BB3"/>
    <w:rsid w:val="003E5C42"/>
    <w:rsid w:val="003E7ADF"/>
    <w:rsid w:val="00400D8B"/>
    <w:rsid w:val="00406307"/>
    <w:rsid w:val="00414216"/>
    <w:rsid w:val="0046090C"/>
    <w:rsid w:val="0048131E"/>
    <w:rsid w:val="00495F6B"/>
    <w:rsid w:val="004A6EAD"/>
    <w:rsid w:val="004D041C"/>
    <w:rsid w:val="004E2996"/>
    <w:rsid w:val="004E5E90"/>
    <w:rsid w:val="00536739"/>
    <w:rsid w:val="00550788"/>
    <w:rsid w:val="005564BE"/>
    <w:rsid w:val="00580B72"/>
    <w:rsid w:val="00581144"/>
    <w:rsid w:val="00594E24"/>
    <w:rsid w:val="005E0DEB"/>
    <w:rsid w:val="006223E0"/>
    <w:rsid w:val="00623F7D"/>
    <w:rsid w:val="00631B18"/>
    <w:rsid w:val="0064059F"/>
    <w:rsid w:val="00676CC2"/>
    <w:rsid w:val="006776A1"/>
    <w:rsid w:val="00685325"/>
    <w:rsid w:val="006902C7"/>
    <w:rsid w:val="006B0390"/>
    <w:rsid w:val="006C2ECF"/>
    <w:rsid w:val="006D7935"/>
    <w:rsid w:val="00700B4E"/>
    <w:rsid w:val="00711E31"/>
    <w:rsid w:val="00723423"/>
    <w:rsid w:val="007423F0"/>
    <w:rsid w:val="007477F1"/>
    <w:rsid w:val="00753760"/>
    <w:rsid w:val="00753800"/>
    <w:rsid w:val="0076063C"/>
    <w:rsid w:val="00780870"/>
    <w:rsid w:val="00780A91"/>
    <w:rsid w:val="00787602"/>
    <w:rsid w:val="00790ECB"/>
    <w:rsid w:val="007B77AE"/>
    <w:rsid w:val="007C31F4"/>
    <w:rsid w:val="007D7A3C"/>
    <w:rsid w:val="007F506C"/>
    <w:rsid w:val="00825761"/>
    <w:rsid w:val="00856A58"/>
    <w:rsid w:val="00871B94"/>
    <w:rsid w:val="008773E5"/>
    <w:rsid w:val="008A6672"/>
    <w:rsid w:val="00925272"/>
    <w:rsid w:val="00927A35"/>
    <w:rsid w:val="00937EFC"/>
    <w:rsid w:val="009668AB"/>
    <w:rsid w:val="009A3546"/>
    <w:rsid w:val="009A544A"/>
    <w:rsid w:val="009B79FA"/>
    <w:rsid w:val="009D1196"/>
    <w:rsid w:val="009E3D0E"/>
    <w:rsid w:val="00A539CE"/>
    <w:rsid w:val="00A655BF"/>
    <w:rsid w:val="00AB1E18"/>
    <w:rsid w:val="00AE4C71"/>
    <w:rsid w:val="00AE53C6"/>
    <w:rsid w:val="00B0400C"/>
    <w:rsid w:val="00B07DE1"/>
    <w:rsid w:val="00B12B66"/>
    <w:rsid w:val="00B12DBA"/>
    <w:rsid w:val="00B56266"/>
    <w:rsid w:val="00B57F8D"/>
    <w:rsid w:val="00B61936"/>
    <w:rsid w:val="00B86B3A"/>
    <w:rsid w:val="00BA1CAF"/>
    <w:rsid w:val="00BA28BF"/>
    <w:rsid w:val="00BF67E7"/>
    <w:rsid w:val="00C04EE5"/>
    <w:rsid w:val="00C07FA5"/>
    <w:rsid w:val="00C161A7"/>
    <w:rsid w:val="00C20D28"/>
    <w:rsid w:val="00C27BDA"/>
    <w:rsid w:val="00C746DC"/>
    <w:rsid w:val="00C83382"/>
    <w:rsid w:val="00C83A92"/>
    <w:rsid w:val="00CA0B2A"/>
    <w:rsid w:val="00CA71B5"/>
    <w:rsid w:val="00CC3F1B"/>
    <w:rsid w:val="00CD3518"/>
    <w:rsid w:val="00CD6F21"/>
    <w:rsid w:val="00CE5AA3"/>
    <w:rsid w:val="00CE6EA9"/>
    <w:rsid w:val="00D12E8D"/>
    <w:rsid w:val="00D43290"/>
    <w:rsid w:val="00D900A4"/>
    <w:rsid w:val="00DA32B9"/>
    <w:rsid w:val="00DE5B46"/>
    <w:rsid w:val="00DF2D1D"/>
    <w:rsid w:val="00E02F01"/>
    <w:rsid w:val="00E1272E"/>
    <w:rsid w:val="00E133D4"/>
    <w:rsid w:val="00E23DAE"/>
    <w:rsid w:val="00E55477"/>
    <w:rsid w:val="00E712DF"/>
    <w:rsid w:val="00E740E6"/>
    <w:rsid w:val="00EB0E4D"/>
    <w:rsid w:val="00EB46B9"/>
    <w:rsid w:val="00EB582B"/>
    <w:rsid w:val="00EC7BD3"/>
    <w:rsid w:val="00EC7F78"/>
    <w:rsid w:val="00EE3EC9"/>
    <w:rsid w:val="00EE50DB"/>
    <w:rsid w:val="00F0003F"/>
    <w:rsid w:val="00F01B6E"/>
    <w:rsid w:val="00F04E4F"/>
    <w:rsid w:val="00F07533"/>
    <w:rsid w:val="00F10DB1"/>
    <w:rsid w:val="00F25916"/>
    <w:rsid w:val="00F31D02"/>
    <w:rsid w:val="00F31E9D"/>
    <w:rsid w:val="00F55C07"/>
    <w:rsid w:val="00F63BD4"/>
    <w:rsid w:val="00F85C62"/>
    <w:rsid w:val="00FB41E0"/>
    <w:rsid w:val="00FC3D7C"/>
    <w:rsid w:val="00FD32F5"/>
    <w:rsid w:val="00FD528C"/>
    <w:rsid w:val="00FF57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18"/>
    <w:rPr>
      <w:rFonts w:ascii="Arial" w:hAnsi="Arial"/>
      <w:sz w:val="24"/>
    </w:rPr>
  </w:style>
  <w:style w:type="paragraph" w:styleId="Heading1">
    <w:name w:val="heading 1"/>
    <w:basedOn w:val="Normal"/>
    <w:next w:val="Normal"/>
    <w:qFormat/>
    <w:rsid w:val="00631B18"/>
    <w:pPr>
      <w:keepNext/>
      <w:outlineLvl w:val="0"/>
    </w:pPr>
    <w:rPr>
      <w:b/>
    </w:rPr>
  </w:style>
  <w:style w:type="paragraph" w:styleId="Heading2">
    <w:name w:val="heading 2"/>
    <w:basedOn w:val="Normal"/>
    <w:next w:val="Normal"/>
    <w:qFormat/>
    <w:rsid w:val="00C83A92"/>
    <w:pPr>
      <w:keepNext/>
      <w:spacing w:before="240" w:after="60"/>
      <w:outlineLvl w:val="1"/>
    </w:pPr>
    <w:rPr>
      <w:rFonts w:cs="Arial"/>
      <w:b/>
      <w:bCs/>
      <w:i/>
      <w:iCs/>
      <w:sz w:val="28"/>
      <w:szCs w:val="28"/>
    </w:rPr>
  </w:style>
  <w:style w:type="paragraph" w:styleId="Heading4">
    <w:name w:val="heading 4"/>
    <w:basedOn w:val="Normal"/>
    <w:next w:val="Normal"/>
    <w:qFormat/>
    <w:rsid w:val="00631B18"/>
    <w:pPr>
      <w:keepNext/>
      <w:jc w:val="right"/>
      <w:outlineLvl w:val="3"/>
    </w:pPr>
    <w:rPr>
      <w:b/>
    </w:rPr>
  </w:style>
  <w:style w:type="paragraph" w:styleId="Heading5">
    <w:name w:val="heading 5"/>
    <w:basedOn w:val="Normal"/>
    <w:next w:val="Normal"/>
    <w:qFormat/>
    <w:rsid w:val="00631B18"/>
    <w:pPr>
      <w:keepNext/>
      <w:outlineLvl w:val="4"/>
    </w:pPr>
    <w:rPr>
      <w:rFonts w:ascii="Univers" w:hAnsi="Univers"/>
      <w:b/>
      <w:u w:val="single"/>
    </w:rPr>
  </w:style>
  <w:style w:type="paragraph" w:styleId="Heading6">
    <w:name w:val="heading 6"/>
    <w:basedOn w:val="Normal"/>
    <w:next w:val="Normal"/>
    <w:qFormat/>
    <w:rsid w:val="00631B18"/>
    <w:pPr>
      <w:keepNext/>
      <w:outlineLvl w:val="5"/>
    </w:pPr>
    <w:rPr>
      <w:rFonts w:ascii="Univers" w:hAnsi="Univers"/>
      <w:b/>
    </w:rPr>
  </w:style>
  <w:style w:type="paragraph" w:styleId="Heading7">
    <w:name w:val="heading 7"/>
    <w:basedOn w:val="Normal"/>
    <w:next w:val="Normal"/>
    <w:qFormat/>
    <w:rsid w:val="00631B1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B18"/>
    <w:rPr>
      <w:rFonts w:ascii="Universal" w:hAnsi="Universal"/>
    </w:rPr>
  </w:style>
  <w:style w:type="paragraph" w:styleId="BodyText2">
    <w:name w:val="Body Text 2"/>
    <w:basedOn w:val="Normal"/>
    <w:rsid w:val="00631B18"/>
    <w:rPr>
      <w:rFonts w:ascii="Univers" w:hAnsi="Univers"/>
      <w:b/>
      <w:u w:val="single"/>
    </w:rPr>
  </w:style>
  <w:style w:type="paragraph" w:styleId="BodyText">
    <w:name w:val="Body Text"/>
    <w:basedOn w:val="Normal"/>
    <w:link w:val="BodyTextChar"/>
    <w:rsid w:val="00631B18"/>
  </w:style>
  <w:style w:type="paragraph" w:styleId="Footer">
    <w:name w:val="footer"/>
    <w:basedOn w:val="Normal"/>
    <w:rsid w:val="00631B18"/>
    <w:pPr>
      <w:tabs>
        <w:tab w:val="center" w:pos="4153"/>
        <w:tab w:val="right" w:pos="8306"/>
      </w:tabs>
    </w:pPr>
  </w:style>
  <w:style w:type="character" w:styleId="PageNumber">
    <w:name w:val="page number"/>
    <w:basedOn w:val="DefaultParagraphFont"/>
    <w:rsid w:val="00631B18"/>
  </w:style>
  <w:style w:type="paragraph" w:styleId="BodyTextIndent2">
    <w:name w:val="Body Text Indent 2"/>
    <w:basedOn w:val="Normal"/>
    <w:rsid w:val="00C83A92"/>
    <w:pPr>
      <w:spacing w:after="120" w:line="480" w:lineRule="auto"/>
      <w:ind w:left="283"/>
    </w:pPr>
  </w:style>
  <w:style w:type="paragraph" w:styleId="BodyText3">
    <w:name w:val="Body Text 3"/>
    <w:basedOn w:val="Normal"/>
    <w:rsid w:val="00C83A92"/>
    <w:pPr>
      <w:spacing w:after="120"/>
    </w:pPr>
    <w:rPr>
      <w:sz w:val="16"/>
      <w:szCs w:val="16"/>
    </w:rPr>
  </w:style>
  <w:style w:type="paragraph" w:styleId="Caption">
    <w:name w:val="caption"/>
    <w:basedOn w:val="Normal"/>
    <w:next w:val="Normal"/>
    <w:qFormat/>
    <w:rsid w:val="00C83A92"/>
    <w:rPr>
      <w:b/>
    </w:rPr>
  </w:style>
  <w:style w:type="paragraph" w:customStyle="1" w:styleId="Style1">
    <w:name w:val="Style1"/>
    <w:basedOn w:val="Normal"/>
    <w:rsid w:val="00C83A92"/>
    <w:rPr>
      <w:lang w:eastAsia="en-US"/>
    </w:rPr>
  </w:style>
  <w:style w:type="paragraph" w:customStyle="1" w:styleId="CharCharCharCharChar">
    <w:name w:val="Char Char Char Char Char"/>
    <w:basedOn w:val="Normal"/>
    <w:rsid w:val="006776A1"/>
    <w:pPr>
      <w:keepLines/>
      <w:spacing w:after="160" w:line="240" w:lineRule="exact"/>
      <w:ind w:left="2977"/>
    </w:pPr>
    <w:rPr>
      <w:rFonts w:ascii="Tahoma" w:hAnsi="Tahoma"/>
      <w:sz w:val="20"/>
      <w:szCs w:val="24"/>
      <w:lang w:val="en-US" w:eastAsia="en-US"/>
    </w:rPr>
  </w:style>
  <w:style w:type="paragraph" w:styleId="BalloonText">
    <w:name w:val="Balloon Text"/>
    <w:basedOn w:val="Normal"/>
    <w:semiHidden/>
    <w:rsid w:val="003454A6"/>
    <w:rPr>
      <w:rFonts w:ascii="Tahoma" w:hAnsi="Tahoma" w:cs="Tahoma"/>
      <w:sz w:val="16"/>
      <w:szCs w:val="16"/>
    </w:rPr>
  </w:style>
  <w:style w:type="character" w:customStyle="1" w:styleId="BodyTextChar">
    <w:name w:val="Body Text Char"/>
    <w:basedOn w:val="DefaultParagraphFont"/>
    <w:link w:val="BodyText"/>
    <w:rsid w:val="003E5C42"/>
    <w:rPr>
      <w:rFonts w:ascii="Arial" w:hAnsi="Arial"/>
      <w:sz w:val="24"/>
    </w:rPr>
  </w:style>
  <w:style w:type="paragraph" w:styleId="NormalWeb">
    <w:name w:val="Normal (Web)"/>
    <w:basedOn w:val="Normal"/>
    <w:uiPriority w:val="99"/>
    <w:rsid w:val="003E5C42"/>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9E3D0E"/>
    <w:pPr>
      <w:ind w:left="720"/>
      <w:contextualSpacing/>
    </w:pPr>
    <w:rPr>
      <w:rFonts w:eastAsia="Calibri"/>
      <w:szCs w:val="22"/>
      <w:lang w:eastAsia="en-US"/>
    </w:rPr>
  </w:style>
  <w:style w:type="character" w:styleId="Hyperlink">
    <w:name w:val="Hyperlink"/>
    <w:basedOn w:val="DefaultParagraphFont"/>
    <w:uiPriority w:val="99"/>
    <w:unhideWhenUsed/>
    <w:rsid w:val="00787602"/>
    <w:rPr>
      <w:color w:val="0000FF" w:themeColor="hyperlink"/>
      <w:u w:val="single"/>
    </w:rPr>
  </w:style>
  <w:style w:type="character" w:customStyle="1" w:styleId="legds2">
    <w:name w:val="legds2"/>
    <w:basedOn w:val="DefaultParagraphFont"/>
    <w:rsid w:val="00FD32F5"/>
    <w:rPr>
      <w:vanish w:val="0"/>
      <w:webHidden w:val="0"/>
      <w:specVanish w:val="0"/>
    </w:rPr>
  </w:style>
  <w:style w:type="character" w:styleId="Strong">
    <w:name w:val="Strong"/>
    <w:basedOn w:val="DefaultParagraphFont"/>
    <w:uiPriority w:val="22"/>
    <w:qFormat/>
    <w:rsid w:val="00495F6B"/>
    <w:rPr>
      <w:b/>
      <w:bCs/>
    </w:rPr>
  </w:style>
</w:styles>
</file>

<file path=word/webSettings.xml><?xml version="1.0" encoding="utf-8"?>
<w:webSettings xmlns:r="http://schemas.openxmlformats.org/officeDocument/2006/relationships" xmlns:w="http://schemas.openxmlformats.org/wordprocessingml/2006/main">
  <w:divs>
    <w:div w:id="185874748">
      <w:bodyDiv w:val="1"/>
      <w:marLeft w:val="0"/>
      <w:marRight w:val="0"/>
      <w:marTop w:val="0"/>
      <w:marBottom w:val="0"/>
      <w:divBdr>
        <w:top w:val="none" w:sz="0" w:space="0" w:color="auto"/>
        <w:left w:val="none" w:sz="0" w:space="0" w:color="auto"/>
        <w:bottom w:val="none" w:sz="0" w:space="0" w:color="auto"/>
        <w:right w:val="none" w:sz="0" w:space="0" w:color="auto"/>
      </w:divBdr>
      <w:divsChild>
        <w:div w:id="1235046926">
          <w:marLeft w:val="0"/>
          <w:marRight w:val="0"/>
          <w:marTop w:val="0"/>
          <w:marBottom w:val="0"/>
          <w:divBdr>
            <w:top w:val="none" w:sz="0" w:space="0" w:color="auto"/>
            <w:left w:val="none" w:sz="0" w:space="0" w:color="auto"/>
            <w:bottom w:val="none" w:sz="0" w:space="0" w:color="auto"/>
            <w:right w:val="none" w:sz="0" w:space="0" w:color="auto"/>
          </w:divBdr>
          <w:divsChild>
            <w:div w:id="1019741426">
              <w:marLeft w:val="0"/>
              <w:marRight w:val="0"/>
              <w:marTop w:val="150"/>
              <w:marBottom w:val="0"/>
              <w:divBdr>
                <w:top w:val="single" w:sz="6" w:space="0" w:color="CCCCCC"/>
                <w:left w:val="single" w:sz="6" w:space="0" w:color="CCCCCC"/>
                <w:bottom w:val="single" w:sz="6" w:space="0" w:color="CCCCCC"/>
                <w:right w:val="single" w:sz="6" w:space="0" w:color="CCCCCC"/>
              </w:divBdr>
              <w:divsChild>
                <w:div w:id="599410384">
                  <w:marLeft w:val="0"/>
                  <w:marRight w:val="0"/>
                  <w:marTop w:val="0"/>
                  <w:marBottom w:val="0"/>
                  <w:divBdr>
                    <w:top w:val="none" w:sz="0" w:space="0" w:color="auto"/>
                    <w:left w:val="none" w:sz="0" w:space="0" w:color="auto"/>
                    <w:bottom w:val="none" w:sz="0" w:space="0" w:color="auto"/>
                    <w:right w:val="none" w:sz="0" w:space="0" w:color="auto"/>
                  </w:divBdr>
                  <w:divsChild>
                    <w:div w:id="1423063258">
                      <w:marLeft w:val="0"/>
                      <w:marRight w:val="-5700"/>
                      <w:marTop w:val="0"/>
                      <w:marBottom w:val="0"/>
                      <w:divBdr>
                        <w:top w:val="none" w:sz="0" w:space="0" w:color="auto"/>
                        <w:left w:val="none" w:sz="0" w:space="0" w:color="auto"/>
                        <w:bottom w:val="none" w:sz="0" w:space="0" w:color="auto"/>
                        <w:right w:val="none" w:sz="0" w:space="0" w:color="auto"/>
                      </w:divBdr>
                      <w:divsChild>
                        <w:div w:id="421872834">
                          <w:marLeft w:val="300"/>
                          <w:marRight w:val="6000"/>
                          <w:marTop w:val="150"/>
                          <w:marBottom w:val="0"/>
                          <w:divBdr>
                            <w:top w:val="none" w:sz="0" w:space="0" w:color="auto"/>
                            <w:left w:val="none" w:sz="0" w:space="0" w:color="auto"/>
                            <w:bottom w:val="none" w:sz="0" w:space="0" w:color="auto"/>
                            <w:right w:val="none" w:sz="0" w:space="0" w:color="auto"/>
                          </w:divBdr>
                          <w:divsChild>
                            <w:div w:id="952443980">
                              <w:marLeft w:val="0"/>
                              <w:marRight w:val="0"/>
                              <w:marTop w:val="0"/>
                              <w:marBottom w:val="0"/>
                              <w:divBdr>
                                <w:top w:val="none" w:sz="0" w:space="0" w:color="auto"/>
                                <w:left w:val="none" w:sz="0" w:space="0" w:color="auto"/>
                                <w:bottom w:val="none" w:sz="0" w:space="0" w:color="auto"/>
                                <w:right w:val="none" w:sz="0" w:space="0" w:color="auto"/>
                              </w:divBdr>
                              <w:divsChild>
                                <w:div w:id="7239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979200">
      <w:bodyDiv w:val="1"/>
      <w:marLeft w:val="0"/>
      <w:marRight w:val="0"/>
      <w:marTop w:val="0"/>
      <w:marBottom w:val="0"/>
      <w:divBdr>
        <w:top w:val="none" w:sz="0" w:space="0" w:color="auto"/>
        <w:left w:val="none" w:sz="0" w:space="0" w:color="auto"/>
        <w:bottom w:val="none" w:sz="0" w:space="0" w:color="auto"/>
        <w:right w:val="none" w:sz="0" w:space="0" w:color="auto"/>
      </w:divBdr>
    </w:div>
    <w:div w:id="1802386366">
      <w:bodyDiv w:val="1"/>
      <w:marLeft w:val="0"/>
      <w:marRight w:val="0"/>
      <w:marTop w:val="0"/>
      <w:marBottom w:val="0"/>
      <w:divBdr>
        <w:top w:val="none" w:sz="0" w:space="0" w:color="auto"/>
        <w:left w:val="none" w:sz="0" w:space="0" w:color="auto"/>
        <w:bottom w:val="none" w:sz="0" w:space="0" w:color="auto"/>
        <w:right w:val="none" w:sz="0" w:space="0" w:color="auto"/>
      </w:divBdr>
      <w:divsChild>
        <w:div w:id="423035393">
          <w:marLeft w:val="0"/>
          <w:marRight w:val="0"/>
          <w:marTop w:val="0"/>
          <w:marBottom w:val="0"/>
          <w:divBdr>
            <w:top w:val="none" w:sz="0" w:space="0" w:color="auto"/>
            <w:left w:val="none" w:sz="0" w:space="0" w:color="auto"/>
            <w:bottom w:val="none" w:sz="0" w:space="0" w:color="auto"/>
            <w:right w:val="none" w:sz="0" w:space="0" w:color="auto"/>
          </w:divBdr>
          <w:divsChild>
            <w:div w:id="1567103479">
              <w:marLeft w:val="0"/>
              <w:marRight w:val="0"/>
              <w:marTop w:val="150"/>
              <w:marBottom w:val="0"/>
              <w:divBdr>
                <w:top w:val="single" w:sz="6" w:space="0" w:color="CCCCCC"/>
                <w:left w:val="single" w:sz="6" w:space="0" w:color="CCCCCC"/>
                <w:bottom w:val="single" w:sz="6" w:space="0" w:color="CCCCCC"/>
                <w:right w:val="single" w:sz="6" w:space="0" w:color="CCCCCC"/>
              </w:divBdr>
              <w:divsChild>
                <w:div w:id="1490557129">
                  <w:marLeft w:val="0"/>
                  <w:marRight w:val="0"/>
                  <w:marTop w:val="0"/>
                  <w:marBottom w:val="0"/>
                  <w:divBdr>
                    <w:top w:val="none" w:sz="0" w:space="0" w:color="auto"/>
                    <w:left w:val="none" w:sz="0" w:space="0" w:color="auto"/>
                    <w:bottom w:val="none" w:sz="0" w:space="0" w:color="auto"/>
                    <w:right w:val="none" w:sz="0" w:space="0" w:color="auto"/>
                  </w:divBdr>
                  <w:divsChild>
                    <w:div w:id="985279380">
                      <w:marLeft w:val="0"/>
                      <w:marRight w:val="-5700"/>
                      <w:marTop w:val="0"/>
                      <w:marBottom w:val="0"/>
                      <w:divBdr>
                        <w:top w:val="none" w:sz="0" w:space="0" w:color="auto"/>
                        <w:left w:val="none" w:sz="0" w:space="0" w:color="auto"/>
                        <w:bottom w:val="none" w:sz="0" w:space="0" w:color="auto"/>
                        <w:right w:val="none" w:sz="0" w:space="0" w:color="auto"/>
                      </w:divBdr>
                      <w:divsChild>
                        <w:div w:id="236210826">
                          <w:marLeft w:val="300"/>
                          <w:marRight w:val="6000"/>
                          <w:marTop w:val="150"/>
                          <w:marBottom w:val="0"/>
                          <w:divBdr>
                            <w:top w:val="none" w:sz="0" w:space="0" w:color="auto"/>
                            <w:left w:val="none" w:sz="0" w:space="0" w:color="auto"/>
                            <w:bottom w:val="none" w:sz="0" w:space="0" w:color="auto"/>
                            <w:right w:val="none" w:sz="0" w:space="0" w:color="auto"/>
                          </w:divBdr>
                          <w:divsChild>
                            <w:div w:id="1318771">
                              <w:marLeft w:val="0"/>
                              <w:marRight w:val="0"/>
                              <w:marTop w:val="0"/>
                              <w:marBottom w:val="0"/>
                              <w:divBdr>
                                <w:top w:val="none" w:sz="0" w:space="0" w:color="auto"/>
                                <w:left w:val="none" w:sz="0" w:space="0" w:color="auto"/>
                                <w:bottom w:val="none" w:sz="0" w:space="0" w:color="auto"/>
                                <w:right w:val="none" w:sz="0" w:space="0" w:color="auto"/>
                              </w:divBdr>
                              <w:divsChild>
                                <w:div w:id="10999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y.jones@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cashire.gov.uk/corporate/web/?Constitution/3419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C955-B7CA-446C-B69C-F9E49C54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Template>
  <TotalTime>1</TotalTime>
  <Pages>5</Pages>
  <Words>1703</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 of the Full Council</vt:lpstr>
    </vt:vector>
  </TitlesOfParts>
  <Company>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Council</dc:title>
  <dc:subject/>
  <dc:creator>rdmcm</dc:creator>
  <cp:keywords/>
  <dc:description/>
  <cp:lastModifiedBy>User</cp:lastModifiedBy>
  <cp:revision>2</cp:revision>
  <cp:lastPrinted>2011-05-12T11:48:00Z</cp:lastPrinted>
  <dcterms:created xsi:type="dcterms:W3CDTF">2013-03-20T12:07:00Z</dcterms:created>
  <dcterms:modified xsi:type="dcterms:W3CDTF">2013-03-20T12:07:00Z</dcterms:modified>
</cp:coreProperties>
</file>